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0BC2A" w14:textId="05C984C7" w:rsidR="00627780" w:rsidRPr="00DB3907" w:rsidRDefault="00627780" w:rsidP="0062778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#88bis</w:t>
      </w:r>
      <w:r w:rsidRPr="00DB3907">
        <w:rPr>
          <w:rFonts w:cs="Arial"/>
          <w:sz w:val="24"/>
          <w:szCs w:val="24"/>
          <w:lang w:val="de-DE"/>
        </w:rPr>
        <w:tab/>
      </w:r>
      <w:r w:rsidR="00FB6E93" w:rsidRPr="00FB6E93">
        <w:rPr>
          <w:rFonts w:cs="Arial"/>
          <w:sz w:val="24"/>
          <w:szCs w:val="24"/>
          <w:lang w:val="de-DE"/>
        </w:rPr>
        <w:t>R4-1813384</w:t>
      </w:r>
    </w:p>
    <w:p w14:paraId="61DF8BB2" w14:textId="77777777" w:rsidR="00627780" w:rsidRPr="00DB3907" w:rsidRDefault="00627780" w:rsidP="00627780">
      <w:pPr>
        <w:pStyle w:val="Header"/>
        <w:tabs>
          <w:tab w:val="left" w:pos="6521"/>
        </w:tabs>
        <w:rPr>
          <w:rFonts w:cs="Arial"/>
          <w:sz w:val="24"/>
          <w:szCs w:val="24"/>
        </w:rPr>
      </w:pPr>
      <w:r>
        <w:rPr>
          <w:rFonts w:cs="Arial"/>
          <w:sz w:val="24"/>
          <w:szCs w:val="24"/>
        </w:rPr>
        <w:t>October 8</w:t>
      </w:r>
      <w:r>
        <w:rPr>
          <w:rFonts w:cs="Arial"/>
          <w:sz w:val="24"/>
          <w:szCs w:val="24"/>
          <w:vertAlign w:val="superscript"/>
        </w:rPr>
        <w:t>th</w:t>
      </w:r>
      <w:r>
        <w:rPr>
          <w:rFonts w:cs="Arial"/>
          <w:sz w:val="24"/>
          <w:szCs w:val="24"/>
        </w:rPr>
        <w:t xml:space="preserve"> ‒ 12</w:t>
      </w:r>
      <w:r>
        <w:rPr>
          <w:rFonts w:cs="Arial"/>
          <w:sz w:val="24"/>
          <w:szCs w:val="24"/>
          <w:vertAlign w:val="superscript"/>
        </w:rPr>
        <w:t>th</w:t>
      </w:r>
      <w:r>
        <w:rPr>
          <w:rFonts w:cs="Arial"/>
          <w:sz w:val="24"/>
          <w:szCs w:val="24"/>
        </w:rPr>
        <w:t>, 2018</w:t>
      </w:r>
    </w:p>
    <w:p w14:paraId="57FF0FFE" w14:textId="77777777" w:rsidR="00627780" w:rsidRPr="00DB3907" w:rsidRDefault="00627780" w:rsidP="00627780">
      <w:pPr>
        <w:pStyle w:val="Header"/>
        <w:rPr>
          <w:rFonts w:cs="Arial"/>
          <w:sz w:val="24"/>
          <w:szCs w:val="24"/>
        </w:rPr>
      </w:pPr>
      <w:r>
        <w:rPr>
          <w:rFonts w:cs="Arial"/>
          <w:sz w:val="24"/>
          <w:szCs w:val="24"/>
        </w:rPr>
        <w:t>Chengdu, CN</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E144C05"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5193">
        <w:rPr>
          <w:rFonts w:ascii="Arial" w:hAnsi="Arial"/>
          <w:sz w:val="24"/>
          <w:lang w:val="en-US"/>
        </w:rPr>
        <w:t>Transient period to include SRS antenna switching</w:t>
      </w:r>
    </w:p>
    <w:p w14:paraId="67DD213C" w14:textId="624DF967"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D39CF">
        <w:rPr>
          <w:rFonts w:ascii="Arial" w:hAnsi="Arial"/>
          <w:sz w:val="24"/>
          <w:lang w:val="en-US"/>
        </w:rPr>
        <w:t xml:space="preserve"> 7.6.5.1.2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1A36146E" w:rsidR="004F1322" w:rsidRPr="00F22934" w:rsidRDefault="006730EE" w:rsidP="00F22934">
      <w:pPr>
        <w:rPr>
          <w:lang w:val="en-US"/>
        </w:rPr>
      </w:pPr>
      <w:r>
        <w:rPr>
          <w:lang w:val="en-US"/>
        </w:rPr>
        <w:t xml:space="preserve">In [1], it has been agreed that transient period for sounding SRS on different antenna ports is 15 usec. In this paper, the same has been specified in terms of figures to be added to 38.101. </w:t>
      </w:r>
    </w:p>
    <w:p w14:paraId="3CA8E1CA" w14:textId="287EB25B" w:rsidR="00C15C1A" w:rsidRDefault="006866E3" w:rsidP="00A67A30">
      <w:pPr>
        <w:pStyle w:val="Heading1"/>
        <w:rPr>
          <w:lang w:val="en-US"/>
        </w:rPr>
      </w:pPr>
      <w:r w:rsidRPr="00C15C1A">
        <w:rPr>
          <w:lang w:val="en-US"/>
        </w:rPr>
        <w:t>Discussion</w:t>
      </w:r>
    </w:p>
    <w:p w14:paraId="1F8D173E" w14:textId="5EC1A498" w:rsidR="00C27794" w:rsidRDefault="00C27794" w:rsidP="00C27794">
      <w:pPr>
        <w:rPr>
          <w:lang w:val="en-US"/>
        </w:rPr>
      </w:pPr>
      <w:r>
        <w:rPr>
          <w:lang w:val="en-US"/>
        </w:rPr>
        <w:t xml:space="preserve">In [2] section 6.3.3.7 the time mask for PUSCH/PUCCH-SRS is specified. </w:t>
      </w:r>
      <w:r w:rsidR="00FB2D5E">
        <w:rPr>
          <w:lang w:val="en-US"/>
        </w:rPr>
        <w:t>In t</w:t>
      </w:r>
      <w:r>
        <w:rPr>
          <w:lang w:val="en-US"/>
        </w:rPr>
        <w:t>his case</w:t>
      </w:r>
      <w:r w:rsidR="00FB2D5E">
        <w:rPr>
          <w:lang w:val="en-US"/>
        </w:rPr>
        <w:t xml:space="preserve">, </w:t>
      </w:r>
      <w:r>
        <w:rPr>
          <w:lang w:val="en-US"/>
        </w:rPr>
        <w:t xml:space="preserve">SRS is sounded on the same antenna port as that of PUSCH/PUCCH. </w:t>
      </w:r>
    </w:p>
    <w:p w14:paraId="504F1203" w14:textId="77777777" w:rsidR="00B37396" w:rsidRDefault="00B37396" w:rsidP="00B37396">
      <w:pPr>
        <w:pStyle w:val="Heading2"/>
        <w:numPr>
          <w:ilvl w:val="0"/>
          <w:numId w:val="0"/>
        </w:numPr>
        <w:ind w:left="576"/>
        <w:rPr>
          <w:lang w:val="en-US"/>
        </w:rPr>
      </w:pPr>
    </w:p>
    <w:p w14:paraId="5A17232D" w14:textId="7DDADCA1" w:rsidR="00C27794" w:rsidRPr="00C27794" w:rsidRDefault="00B37396" w:rsidP="00B37396">
      <w:pPr>
        <w:pStyle w:val="Heading2"/>
        <w:rPr>
          <w:lang w:val="en-US"/>
        </w:rPr>
      </w:pPr>
      <w:r>
        <w:rPr>
          <w:lang w:val="en-US"/>
        </w:rPr>
        <w:t>PUSCH/PUCCH - SRS</w:t>
      </w:r>
    </w:p>
    <w:p w14:paraId="532B1FB4" w14:textId="77777777" w:rsidR="00C27794" w:rsidRPr="00611CC4" w:rsidRDefault="00C27794" w:rsidP="00C27794">
      <w:pPr>
        <w:pStyle w:val="Heading4"/>
      </w:pPr>
      <w:bookmarkStart w:id="0" w:name="_Toc518915402"/>
      <w:r w:rsidRPr="00611CC4">
        <w:t>6.3.3.7</w:t>
      </w:r>
      <w:r w:rsidRPr="00611CC4">
        <w:tab/>
        <w:t>PUSCH-PUCCH and PUSCH-SRS time masks</w:t>
      </w:r>
      <w:bookmarkEnd w:id="0"/>
    </w:p>
    <w:p w14:paraId="386C1029" w14:textId="77777777" w:rsidR="00C27794" w:rsidRPr="00611CC4" w:rsidRDefault="00C27794" w:rsidP="00C27794">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4B4D195" w14:textId="3C544C69" w:rsidR="00C27794" w:rsidRPr="00611CC4" w:rsidRDefault="00676C9C" w:rsidP="00C27794">
      <w:pPr>
        <w:pStyle w:val="TH"/>
        <w:rPr>
          <w:noProof/>
        </w:rPr>
      </w:pPr>
      <w:r>
        <w:rPr>
          <w:noProof/>
          <w:lang w:val="en-US" w:eastAsia="ko-KR"/>
        </w:rPr>
        <mc:AlternateContent>
          <mc:Choice Requires="wps">
            <w:drawing>
              <wp:anchor distT="0" distB="0" distL="114300" distR="114300" simplePos="0" relativeHeight="251659264" behindDoc="0" locked="0" layoutInCell="1" allowOverlap="1" wp14:anchorId="404E6339" wp14:editId="517F02C7">
                <wp:simplePos x="0" y="0"/>
                <wp:positionH relativeFrom="column">
                  <wp:posOffset>3036799</wp:posOffset>
                </wp:positionH>
                <wp:positionV relativeFrom="paragraph">
                  <wp:posOffset>960501</wp:posOffset>
                </wp:positionV>
                <wp:extent cx="921715" cy="651053"/>
                <wp:effectExtent l="0" t="0" r="12065" b="15875"/>
                <wp:wrapNone/>
                <wp:docPr id="1" name="Oval 1"/>
                <wp:cNvGraphicFramePr/>
                <a:graphic xmlns:a="http://schemas.openxmlformats.org/drawingml/2006/main">
                  <a:graphicData uri="http://schemas.microsoft.com/office/word/2010/wordprocessingShape">
                    <wps:wsp>
                      <wps:cNvSpPr/>
                      <wps:spPr>
                        <a:xfrm>
                          <a:off x="0" y="0"/>
                          <a:ext cx="921715" cy="6510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4F7CF" id="Oval 1" o:spid="_x0000_s1026" style="position:absolute;margin-left:239.1pt;margin-top:75.65pt;width:72.6pt;height:5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nckgIAAIIFAAAOAAAAZHJzL2Uyb0RvYy54bWysVE1v2zAMvQ/YfxB0X21nTbsadYqgRYYB&#10;RRusHXpWZCk2IIuapMTJfv0oyXaDtdhhWA6KKJKPH37k9c2hU2QvrGtBV7Q4yykRmkPd6m1Ffzyv&#10;Pn2hxHmma6ZAi4oehaM3i48frntTihk0oGphCYJoV/amoo33pswyxxvRMXcGRmhUSrAd8yjabVZb&#10;1iN6p7JZnl9kPdjaWODCOXy9S0q6iPhSCu4fpXTCE1VRzM3H08ZzE85scc3KrWWmafmQBvuHLDrW&#10;agw6Qd0xz8jOtm+gupZbcCD9GYcuAylbLmINWE2R/1HNU8OMiLVgc5yZ2uT+Hyx/2K8taWv8dpRo&#10;1uEnetwzRYrQmd64Eg2ezNoOksNrKPMgbRf+sQByiN08Tt0UB084Pl7NistiTglH1cW8yOefA2b2&#10;6mys818FdCRcKiqUao0L9bKS7e+dT9ajVXjWsGqVwndWKh1OB6qtw1sU7HZzqyzB/Cu6WuX4GyKe&#10;mGH84JqF2lI18eaPSiTY70JiPzD/WcwkMlFMsIxzoX2RVA2rRYo2Pw0WuBs8YrFKI2BAlpjlhD0A&#10;jJYJZMROdQ/2wVVEIk/O+d8SS86TR4wM2k/OXavBvgegsKohcrIfm5RaE7q0gfqIbLGQxsgZvmrx&#10;090z59fM4tzghOEu8I94SAV9RWG4UdKA/fXee7BHOqOWkh7nsKLu545ZQYn6ppHoV8X5eRjcKJzP&#10;L2co2FPN5lSjd90t4NdHMmN28RrsvRqv0kL3gitjGaKiimmOsSvKvR2FW5/2Ay4dLpbLaIbDapi/&#10;10+GB/DQ1cDL58MLs2bgr0fiP8A4s284nGyDp4blzoNsI8Ff+zr0Gwc9EmdYSmGTnMrR6nV1Ln4D&#10;AAD//wMAUEsDBBQABgAIAAAAIQD5vZIH3gAAAAsBAAAPAAAAZHJzL2Rvd25yZXYueG1sTI/BTsMw&#10;EETvSPyDtUhcEHWatCaEOFWF1APHFiSu29gkEfY6it02/XuWExxX8zTztt7M3omzneIQSMNykYGw&#10;1AYzUKfh4333WIKICcmgC2Q1XG2ETXN7U2NlwoX29nxIneASihVq6FMaKylj21uPcRFGS5x9hclj&#10;4nPqpJnwwuXeyTzLlPQ4EC/0ONrX3rbfh5PXsL3K5PbxefdgFCmVPuMbulLr+7t5+wIi2Tn9wfCr&#10;z+rQsNMxnMhE4TSsnsqcUQ7WywIEEyovViCOGvJ1UYJsavn/h+YHAAD//wMAUEsBAi0AFAAGAAgA&#10;AAAhALaDOJL+AAAA4QEAABMAAAAAAAAAAAAAAAAAAAAAAFtDb250ZW50X1R5cGVzXS54bWxQSwEC&#10;LQAUAAYACAAAACEAOP0h/9YAAACUAQAACwAAAAAAAAAAAAAAAAAvAQAAX3JlbHMvLnJlbHNQSwEC&#10;LQAUAAYACAAAACEAkVbZ3JICAACCBQAADgAAAAAAAAAAAAAAAAAuAgAAZHJzL2Uyb0RvYy54bWxQ&#10;SwECLQAUAAYACAAAACEA+b2SB94AAAALAQAADwAAAAAAAAAAAAAAAADsBAAAZHJzL2Rvd25yZXYu&#10;eG1sUEsFBgAAAAAEAAQA8wAAAPcFAAAAAA==&#10;" filled="f" strokecolor="red" strokeweight="1pt">
                <v:stroke joinstyle="miter"/>
              </v:oval>
            </w:pict>
          </mc:Fallback>
        </mc:AlternateContent>
      </w:r>
      <w:r>
        <w:rPr>
          <w:noProof/>
          <w:lang w:val="en-US" w:eastAsia="ko-KR"/>
        </w:rPr>
        <mc:AlternateContent>
          <mc:Choice Requires="wps">
            <w:drawing>
              <wp:anchor distT="0" distB="0" distL="114300" distR="114300" simplePos="0" relativeHeight="251661312" behindDoc="0" locked="0" layoutInCell="1" allowOverlap="1" wp14:anchorId="14BC2C51" wp14:editId="170B69FB">
                <wp:simplePos x="0" y="0"/>
                <wp:positionH relativeFrom="column">
                  <wp:posOffset>4345000</wp:posOffset>
                </wp:positionH>
                <wp:positionV relativeFrom="paragraph">
                  <wp:posOffset>973912</wp:posOffset>
                </wp:positionV>
                <wp:extent cx="921715" cy="651053"/>
                <wp:effectExtent l="0" t="0" r="12065" b="15875"/>
                <wp:wrapNone/>
                <wp:docPr id="2" name="Oval 2"/>
                <wp:cNvGraphicFramePr/>
                <a:graphic xmlns:a="http://schemas.openxmlformats.org/drawingml/2006/main">
                  <a:graphicData uri="http://schemas.microsoft.com/office/word/2010/wordprocessingShape">
                    <wps:wsp>
                      <wps:cNvSpPr/>
                      <wps:spPr>
                        <a:xfrm>
                          <a:off x="0" y="0"/>
                          <a:ext cx="921715" cy="6510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729D6C" id="Oval 2" o:spid="_x0000_s1026" style="position:absolute;margin-left:342.15pt;margin-top:76.7pt;width:72.6pt;height:5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YTkQIAAIIFAAAOAAAAZHJzL2Uyb0RvYy54bWysVEtv2zAMvg/YfxB0X/1Y065GnSJokWFA&#10;0QZrh54VWY4FyKImKXGyXz9KctxgLXYYloPC58eHSV7f7HtFdsI6CbqmxVlOidAcGqk3Nf3xvPz0&#10;hRLnmW6YAi1qehCO3sw/frgeTCVK6EA1whIE0a4aTE07702VZY53omfuDIzQqGzB9swjazdZY9mA&#10;6L3Kyjy/yAawjbHAhXMovUtKOo/4bSu4f2xbJzxRNcXcfHxtfNfhzebXrNpYZjrJxzTYP2TRM6kx&#10;6AR1xzwjWyvfQPWSW3DQ+jMOfQZtK7mINWA1Rf5HNU8dMyLWgs1xZmqT+3+w/GG3skQ2NS0p0azH&#10;T/S4Y4qUoTODcRUaPJmVHTmHZChz39o+/GMBZB+7eZi6KfaecBRelcVlMaOEo+piVuSzzwEze3U2&#10;1vmvAnoSiJoKpaRxoV5Wsd2988n6aBXEGpZSKZSzSunwOlCyCbLI2M36VlmC+dd0uczxN0Y8McP4&#10;wTULtaVqIuUPSiTY76LFfmD+ZcwkTqKYYBnnQvsiqTrWiBRtdhoszG7wiMUqjYABucUsJ+wR4GiZ&#10;QI7Yqe7RPriKOMiTc/63xJLz5BEjg/aTcy812PcAFFY1Rk72xyal1oQuraE54LRYSGvkDF9K/HT3&#10;zPkVs7g3uGF4C/wjPq2CoaYwUpR0YH+9Jw/2OM6opWTAPayp+7llVlCivmkc9Kvi/DwsbmTOZ5cl&#10;MvZUsz7V6G1/C/j1C7w6hkcy2Ht1JFsL/QuejEWIiiqmOcauKff2yNz6dB/w6HCxWEQzXFbD/L1+&#10;MjyAh66GuXzevzBrxvn1OPgPcNzZNzOcbIOnhsXWQyvjgL/2dew3LnocnPEohUtyyker19M5/w0A&#10;AP//AwBQSwMEFAAGAAgAAAAhAInTVCffAAAACwEAAA8AAABkcnMvZG93bnJldi54bWxMj8FqwzAQ&#10;RO+F/oPYQi+lkevExnYsh1DIocckhV4Va2ubSCtjKYnz992e2uMyj5m39WZ2VlxxCoMnBW+LBARS&#10;681AnYLP4+61ABGiJqOtJ1RwxwCb5vGh1pXxN9rj9RA7wSUUKq2gj3GspAxtj06HhR+ROPv2k9OR&#10;z6mTZtI3LndWpkmSS6cH4oVej/jeY3s+XJyC7V1Guw/l7sXklOfxK3xoWyj1/DRv1yAizvEPhl99&#10;VoeGnU7+QiYIqyAvVktGOciWKxBMFGmZgTgpSLOsBNnU8v8PzQ8AAAD//wMAUEsBAi0AFAAGAAgA&#10;AAAhALaDOJL+AAAA4QEAABMAAAAAAAAAAAAAAAAAAAAAAFtDb250ZW50X1R5cGVzXS54bWxQSwEC&#10;LQAUAAYACAAAACEAOP0h/9YAAACUAQAACwAAAAAAAAAAAAAAAAAvAQAAX3JlbHMvLnJlbHNQSwEC&#10;LQAUAAYACAAAACEAUxpGE5ECAACCBQAADgAAAAAAAAAAAAAAAAAuAgAAZHJzL2Uyb0RvYy54bWxQ&#10;SwECLQAUAAYACAAAACEAidNUJ98AAAALAQAADwAAAAAAAAAAAAAAAADrBAAAZHJzL2Rvd25yZXYu&#10;eG1sUEsFBgAAAAAEAAQA8wAAAPcFAAAAAA==&#10;" filled="f" strokecolor="red" strokeweight="1pt">
                <v:stroke joinstyle="miter"/>
              </v:oval>
            </w:pict>
          </mc:Fallback>
        </mc:AlternateContent>
      </w:r>
      <w:r w:rsidR="00C27794" w:rsidRPr="00611CC4">
        <w:rPr>
          <w:noProof/>
          <w:lang w:val="en-US" w:eastAsia="ko-KR"/>
        </w:rPr>
        <w:drawing>
          <wp:inline distT="0" distB="0" distL="0" distR="0" wp14:anchorId="6D236253" wp14:editId="01800CFB">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p>
    <w:p w14:paraId="47D90F0E" w14:textId="77777777" w:rsidR="00C27794" w:rsidRPr="00611CC4" w:rsidRDefault="00C27794" w:rsidP="00C27794">
      <w:pPr>
        <w:pStyle w:val="TF"/>
      </w:pPr>
      <w:r w:rsidRPr="00611CC4">
        <w:t>Figure 6.3.3.7-1: PUCCH/PUSCH/SRS time mask when there is a transmission before or after or both before and after SRS</w:t>
      </w:r>
    </w:p>
    <w:p w14:paraId="715D1250" w14:textId="5FED7BEA" w:rsidR="00EE2CF3" w:rsidRDefault="00EE2CF3" w:rsidP="00EE2CF3">
      <w:pPr>
        <w:rPr>
          <w:lang w:val="en-US"/>
        </w:rPr>
      </w:pPr>
    </w:p>
    <w:p w14:paraId="7DD46000" w14:textId="77777777" w:rsidR="008975FA" w:rsidRDefault="008975FA" w:rsidP="00EE2CF3">
      <w:pPr>
        <w:rPr>
          <w:b/>
          <w:lang w:val="en-US"/>
        </w:rPr>
      </w:pPr>
    </w:p>
    <w:p w14:paraId="13A959DA" w14:textId="77777777" w:rsidR="008975FA" w:rsidRDefault="008975FA" w:rsidP="00EE2CF3">
      <w:pPr>
        <w:rPr>
          <w:b/>
          <w:lang w:val="en-US"/>
        </w:rPr>
      </w:pPr>
    </w:p>
    <w:p w14:paraId="12B7D0E0" w14:textId="77777777" w:rsidR="008975FA" w:rsidRDefault="008975FA" w:rsidP="00EE2CF3">
      <w:pPr>
        <w:rPr>
          <w:b/>
          <w:lang w:val="en-US"/>
        </w:rPr>
      </w:pPr>
    </w:p>
    <w:p w14:paraId="7404322D" w14:textId="77777777" w:rsidR="008975FA" w:rsidRDefault="008975FA" w:rsidP="00EE2CF3">
      <w:pPr>
        <w:rPr>
          <w:b/>
          <w:lang w:val="en-US"/>
        </w:rPr>
      </w:pPr>
    </w:p>
    <w:p w14:paraId="5EEACD34" w14:textId="77777777" w:rsidR="008975FA" w:rsidRDefault="008975FA" w:rsidP="00EE2CF3">
      <w:pPr>
        <w:rPr>
          <w:b/>
          <w:lang w:val="en-US"/>
        </w:rPr>
      </w:pPr>
    </w:p>
    <w:p w14:paraId="59A247D5" w14:textId="77777777" w:rsidR="008975FA" w:rsidRDefault="008975FA" w:rsidP="00EE2CF3">
      <w:pPr>
        <w:rPr>
          <w:b/>
          <w:lang w:val="en-US"/>
        </w:rPr>
      </w:pPr>
    </w:p>
    <w:p w14:paraId="34B7A2B0" w14:textId="6B97432C" w:rsidR="005320C8" w:rsidRDefault="00155EF1" w:rsidP="00EE2CF3">
      <w:pPr>
        <w:rPr>
          <w:lang w:val="en-US"/>
        </w:rPr>
      </w:pPr>
      <w:r>
        <w:rPr>
          <w:b/>
          <w:noProof/>
          <w:lang w:val="en-US"/>
        </w:rPr>
        <w:lastRenderedPageBreak/>
        <mc:AlternateContent>
          <mc:Choice Requires="wps">
            <w:drawing>
              <wp:anchor distT="0" distB="0" distL="114300" distR="114300" simplePos="0" relativeHeight="251662336" behindDoc="0" locked="0" layoutInCell="1" allowOverlap="1" wp14:anchorId="01EFDDE0" wp14:editId="1777EC9A">
                <wp:simplePos x="0" y="0"/>
                <wp:positionH relativeFrom="column">
                  <wp:posOffset>-39799</wp:posOffset>
                </wp:positionH>
                <wp:positionV relativeFrom="paragraph">
                  <wp:posOffset>368737</wp:posOffset>
                </wp:positionV>
                <wp:extent cx="6293922" cy="3212275"/>
                <wp:effectExtent l="0" t="0" r="12065" b="26670"/>
                <wp:wrapNone/>
                <wp:docPr id="34" name="Rectangle 34"/>
                <wp:cNvGraphicFramePr/>
                <a:graphic xmlns:a="http://schemas.openxmlformats.org/drawingml/2006/main">
                  <a:graphicData uri="http://schemas.microsoft.com/office/word/2010/wordprocessingShape">
                    <wps:wsp>
                      <wps:cNvSpPr/>
                      <wps:spPr>
                        <a:xfrm>
                          <a:off x="0" y="0"/>
                          <a:ext cx="6293922" cy="3212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85390C" id="Rectangle 34" o:spid="_x0000_s1026" style="position:absolute;margin-left:-3.15pt;margin-top:29.05pt;width:495.6pt;height:252.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cpxewIAAEcFAAAOAAAAZHJzL2Uyb0RvYy54bWysVE1PGzEQvVfqf7B8L5ss4StigyIQVSUE&#10;CKg4G6+dXcn2uGMnm/TXd+zdLAhQD1VzcGzPzJuZt298frG1hm0UhhZcxacHE86Uk1C3blXxn0/X&#10;3045C1G4WhhwquI7FfjF4uuX887PVQkNmFohIxAX5p2veBOjnxdFkI2yIhyAV46MGtCKSEdcFTWK&#10;jtCtKcrJ5LjoAGuPIFUIdHvVG/ki42utZLzTOqjITMWptphXzOtLWovFuZivUPimlUMZ4h+qsKJ1&#10;lHSEuhJRsDW2H6BsKxEC6HggwRagdStV7oG6mU7edfPYCK9yL0RO8CNN4f/BytvNPbK2rvjhjDMn&#10;LH2jB2JNuJVRjO6IoM6HOfk9+nscToG2qdutRpv+qQ+2zaTuRlLVNjJJl8fl2eFZWXImyXZYTsvy&#10;5CihFq/hHkP8rsCytKk4Uv5MptjchNi77l1SNgfXrTHpPlXW15J3cWdUcjDuQWlqirKXGSjLSV0a&#10;ZBtBQhBSKhenvakRteqvjyb0G0obI3KhGTAha0o8Yg8ASaofsfuyB/8UqrIax+DJ3wrrg8eInBlc&#10;HINt6wA/AzDU1ZC599+T1FOTWHqBekefHKGfheDldUu034gQ7wWS+GlMaKDjHS3aQFdxGHacNYC/&#10;P7tP/qRJsnLW0TBVPPxaC1ScmR+O1Ho2nc3S9OXD7OikpAO+tby8tbi1vQT6TFN6OrzM2+QfzX6r&#10;Eewzzf0yZSWTcJJyV1xG3B8uYz/k9HJItVxmN5o4L+KNe/QygSdWk6yets8C/aC9SLK9hf3gifk7&#10;Cfa+KdLBch1Bt1mfr7wOfNO0ZuEML0t6Dt6es9fr+7f4AwAA//8DAFBLAwQUAAYACAAAACEAhGfx&#10;nuEAAAAJAQAADwAAAGRycy9kb3ducmV2LnhtbEyPQUvDQBCF74L/YRnBW7uJtiGN2ZRUEERBaCyi&#10;t212mgSzszG7beO/dzzp8c17vPdNvp5sL044+s6RgngegUCqnemoUbB7fZilIHzQZHTvCBV8o4d1&#10;cXmR68y4M23xVIVGcAn5TCtoQxgyKX3dotV+7gYk9g5utDqwHBtpRn3mctvLmyhKpNUd8UKrB7xv&#10;sf6sjlbB23Z5wM0m2cmXj/KrjKvH6fnpXanrq6m8AxFwCn9h+MVndCiYae+OZLzoFcySW04qWKYx&#10;CPZX6WIFYs+HZBGBLHL5/4PiBwAA//8DAFBLAQItABQABgAIAAAAIQC2gziS/gAAAOEBAAATAAAA&#10;AAAAAAAAAAAAAAAAAABbQ29udGVudF9UeXBlc10ueG1sUEsBAi0AFAAGAAgAAAAhADj9If/WAAAA&#10;lAEAAAsAAAAAAAAAAAAAAAAALwEAAF9yZWxzLy5yZWxzUEsBAi0AFAAGAAgAAAAhALmhynF7AgAA&#10;RwUAAA4AAAAAAAAAAAAAAAAALgIAAGRycy9lMm9Eb2MueG1sUEsBAi0AFAAGAAgAAAAhAIRn8Z7h&#10;AAAACQEAAA8AAAAAAAAAAAAAAAAA1QQAAGRycy9kb3ducmV2LnhtbFBLBQYAAAAABAAEAPMAAADj&#10;BQAAAAA=&#10;" filled="f" strokecolor="#1f3763 [1604]" strokeweight="1pt"/>
            </w:pict>
          </mc:Fallback>
        </mc:AlternateContent>
      </w:r>
      <w:r w:rsidR="00F67CB9" w:rsidRPr="00F67CB9">
        <w:rPr>
          <w:b/>
          <w:lang w:val="en-US"/>
        </w:rPr>
        <w:t>Proposal</w:t>
      </w:r>
      <w:r w:rsidR="003A46E0">
        <w:rPr>
          <w:b/>
          <w:lang w:val="en-US"/>
        </w:rPr>
        <w:t xml:space="preserve"> 1</w:t>
      </w:r>
      <w:r w:rsidR="00F67CB9" w:rsidRPr="00F67CB9">
        <w:rPr>
          <w:b/>
          <w:lang w:val="en-US"/>
        </w:rPr>
        <w:t>:</w:t>
      </w:r>
      <w:r w:rsidR="005320C8">
        <w:rPr>
          <w:lang w:val="en-US"/>
        </w:rPr>
        <w:t xml:space="preserve"> </w:t>
      </w:r>
      <w:r w:rsidR="006D0736">
        <w:rPr>
          <w:lang w:val="en-US"/>
        </w:rPr>
        <w:t xml:space="preserve">The below figure </w:t>
      </w:r>
      <w:r w:rsidR="00F939F8">
        <w:rPr>
          <w:lang w:val="en-US"/>
        </w:rPr>
        <w:t>includes the case for SRS antenna switching and for all the transmit CCs in inter</w:t>
      </w:r>
      <w:r w:rsidR="00E9215B">
        <w:rPr>
          <w:lang w:val="en-US"/>
        </w:rPr>
        <w:t>-</w:t>
      </w:r>
      <w:r w:rsidR="00F939F8">
        <w:rPr>
          <w:lang w:val="en-US"/>
        </w:rPr>
        <w:t>band CA with the CC sounding SRS</w:t>
      </w:r>
      <w:r w:rsidR="00636F79">
        <w:rPr>
          <w:lang w:val="en-US"/>
        </w:rPr>
        <w:t xml:space="preserve">. </w:t>
      </w:r>
    </w:p>
    <w:p w14:paraId="49C5A4B2" w14:textId="731125F6" w:rsidR="00992C21" w:rsidRDefault="00CF3599" w:rsidP="00EE2CF3">
      <w:pPr>
        <w:rPr>
          <w:lang w:val="en-US"/>
        </w:rPr>
      </w:pPr>
      <w:r>
        <w:rPr>
          <w:noProof/>
          <w:lang w:val="en-US"/>
        </w:rPr>
        <w:drawing>
          <wp:inline distT="0" distB="0" distL="0" distR="0" wp14:anchorId="5879E801" wp14:editId="7EBE09D1">
            <wp:extent cx="6102086" cy="159723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035" cy="1603500"/>
                    </a:xfrm>
                    <a:prstGeom prst="rect">
                      <a:avLst/>
                    </a:prstGeom>
                    <a:noFill/>
                  </pic:spPr>
                </pic:pic>
              </a:graphicData>
            </a:graphic>
          </wp:inline>
        </w:drawing>
      </w:r>
    </w:p>
    <w:p w14:paraId="67286F3D" w14:textId="7F435EE6" w:rsidR="00155EF1" w:rsidRPr="00155EF1" w:rsidRDefault="00155EF1" w:rsidP="00155EF1">
      <w:pPr>
        <w:pStyle w:val="TF"/>
      </w:pPr>
      <w:r w:rsidRPr="00611CC4">
        <w:t>Figure 6.3.3.7-1: PUCCH/PUSCH/SRS time mask when there is a transmission before or after or both before and after SRS</w:t>
      </w:r>
    </w:p>
    <w:p w14:paraId="0700CB4B" w14:textId="629F4A5B" w:rsidR="00992C21" w:rsidRDefault="006D0736" w:rsidP="00EE2CF3">
      <w:pPr>
        <w:rPr>
          <w:lang w:val="en-US"/>
        </w:rPr>
      </w:pPr>
      <w:r>
        <w:rPr>
          <w:lang w:val="en-US"/>
        </w:rPr>
        <w:t>Where:</w:t>
      </w:r>
    </w:p>
    <w:p w14:paraId="0547284E" w14:textId="2FC891FA" w:rsidR="00B37396" w:rsidRDefault="008975FA" w:rsidP="008975FA">
      <w:pPr>
        <w:pStyle w:val="ListParagraph"/>
        <w:numPr>
          <w:ilvl w:val="0"/>
          <w:numId w:val="25"/>
        </w:numPr>
        <w:rPr>
          <w:lang w:val="en-US"/>
        </w:rPr>
      </w:pPr>
      <w:r>
        <w:rPr>
          <w:lang w:val="en-US"/>
        </w:rPr>
        <w:t>X = 10 usec when SRS is sounded on the same antenna as that of PUSCH/PUCCH before and after it</w:t>
      </w:r>
    </w:p>
    <w:p w14:paraId="2B436AB4" w14:textId="5DBA135D" w:rsidR="008975FA" w:rsidRDefault="008975FA" w:rsidP="008975FA">
      <w:pPr>
        <w:pStyle w:val="ListParagraph"/>
        <w:numPr>
          <w:ilvl w:val="0"/>
          <w:numId w:val="25"/>
        </w:numPr>
        <w:rPr>
          <w:lang w:val="en-US"/>
        </w:rPr>
      </w:pPr>
      <w:r>
        <w:rPr>
          <w:lang w:val="en-US"/>
        </w:rPr>
        <w:t xml:space="preserve">X = 15 usec when SRS is sounded on another antenna different from that of the PUSCH/PUCCH before and after it. </w:t>
      </w:r>
      <w:r w:rsidR="00E30BFE">
        <w:rPr>
          <w:lang w:val="en-US"/>
        </w:rPr>
        <w:t xml:space="preserve">This transient period of 15 usec applies </w:t>
      </w:r>
      <w:r w:rsidR="001A1A31">
        <w:rPr>
          <w:lang w:val="en-US"/>
        </w:rPr>
        <w:t xml:space="preserve">before and after SRS transmission </w:t>
      </w:r>
      <w:r w:rsidR="00E30BFE">
        <w:rPr>
          <w:lang w:val="en-US"/>
        </w:rPr>
        <w:t xml:space="preserve">to all the </w:t>
      </w:r>
      <w:r w:rsidR="00267878">
        <w:rPr>
          <w:lang w:val="en-US"/>
        </w:rPr>
        <w:t xml:space="preserve">transmit </w:t>
      </w:r>
      <w:r w:rsidR="00E30BFE">
        <w:rPr>
          <w:lang w:val="en-US"/>
        </w:rPr>
        <w:t xml:space="preserve">CCs in inter-band CA with </w:t>
      </w:r>
      <w:r w:rsidR="002A4D03">
        <w:rPr>
          <w:lang w:val="en-US"/>
        </w:rPr>
        <w:t>t</w:t>
      </w:r>
      <w:r w:rsidR="00E30BFE">
        <w:rPr>
          <w:lang w:val="en-US"/>
        </w:rPr>
        <w:t>he CC sounding SRS.</w:t>
      </w:r>
    </w:p>
    <w:p w14:paraId="2687594B" w14:textId="6B212766" w:rsidR="00E30BFE" w:rsidRPr="00E30BFE" w:rsidRDefault="00E30BFE" w:rsidP="00E30BFE">
      <w:pPr>
        <w:rPr>
          <w:lang w:val="en-US"/>
        </w:rPr>
      </w:pPr>
    </w:p>
    <w:p w14:paraId="1646C9BA" w14:textId="66CA48B3" w:rsidR="00B37396" w:rsidRDefault="003F3910" w:rsidP="00B37396">
      <w:pPr>
        <w:pStyle w:val="Heading2"/>
        <w:rPr>
          <w:lang w:val="en-US"/>
        </w:rPr>
      </w:pPr>
      <w:r>
        <w:rPr>
          <w:lang w:val="en-US"/>
        </w:rPr>
        <w:t xml:space="preserve">Switching time between two SRS </w:t>
      </w:r>
      <w:r w:rsidR="00C977C9">
        <w:rPr>
          <w:lang w:val="en-US"/>
        </w:rPr>
        <w:t>symbols that belong to antenna switching</w:t>
      </w:r>
      <w:r>
        <w:rPr>
          <w:lang w:val="en-US"/>
        </w:rPr>
        <w:t xml:space="preserve"> </w:t>
      </w:r>
      <w:r w:rsidR="004832FA">
        <w:rPr>
          <w:lang w:val="en-US"/>
        </w:rPr>
        <w:t xml:space="preserve">resource </w:t>
      </w:r>
      <w:r>
        <w:rPr>
          <w:lang w:val="en-US"/>
        </w:rPr>
        <w:t>set</w:t>
      </w:r>
    </w:p>
    <w:p w14:paraId="6CA7DBD9" w14:textId="34ED5EB7" w:rsidR="003F3910" w:rsidRPr="003F3910" w:rsidRDefault="003F3910" w:rsidP="003F3910">
      <w:pPr>
        <w:rPr>
          <w:lang w:val="en-US"/>
        </w:rPr>
      </w:pPr>
      <w:r>
        <w:rPr>
          <w:lang w:val="en-US"/>
        </w:rPr>
        <w:t xml:space="preserve">For the case of </w:t>
      </w:r>
      <w:r w:rsidR="0033386B">
        <w:rPr>
          <w:lang w:val="en-US"/>
        </w:rPr>
        <w:t>back to back SRS antenna switching</w:t>
      </w:r>
      <w:r w:rsidR="006B57B1">
        <w:rPr>
          <w:lang w:val="en-US"/>
        </w:rPr>
        <w:t>, RAN1 allows for a symbol gap in between as shown in the table below from [3].</w:t>
      </w:r>
      <w:r w:rsidR="009114E8">
        <w:rPr>
          <w:lang w:val="en-US"/>
        </w:rPr>
        <w:t xml:space="preserve"> Hence no further action is needed for this case. </w:t>
      </w:r>
    </w:p>
    <w:p w14:paraId="3509A72F" w14:textId="403020BC" w:rsidR="003F3910" w:rsidRPr="00A06147" w:rsidRDefault="003F3910" w:rsidP="003F3910">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F3910" w14:paraId="26680472" w14:textId="77777777" w:rsidTr="00941932">
        <w:trPr>
          <w:jc w:val="center"/>
        </w:trPr>
        <w:tc>
          <w:tcPr>
            <w:tcW w:w="1129" w:type="dxa"/>
            <w:vAlign w:val="center"/>
          </w:tcPr>
          <w:p w14:paraId="4E5F819A" w14:textId="77777777" w:rsidR="003F3910" w:rsidRPr="00E17FE7" w:rsidRDefault="003F3910" w:rsidP="00941932">
            <w:pPr>
              <w:pStyle w:val="TAH"/>
              <w:rPr>
                <w:rFonts w:eastAsia="Batang"/>
              </w:rPr>
            </w:pPr>
            <w:r w:rsidRPr="00E17FE7">
              <w:rPr>
                <w:rFonts w:eastAsia="Batang"/>
                <w:position w:val="-10"/>
              </w:rPr>
              <w:object w:dxaOrig="219" w:dyaOrig="239" w14:anchorId="1B605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2pt;height:12.75pt;mso-position-horizontal-relative:page;mso-position-vertical-relative:page" o:ole="">
                  <v:imagedata r:id="rId10" o:title=""/>
                </v:shape>
                <o:OLEObject Type="Embed" ProgID="Equation.3" ShapeID="对象 261" DrawAspect="Content" ObjectID="_1599655700" r:id="rId11"/>
              </w:object>
            </w:r>
          </w:p>
        </w:tc>
        <w:tc>
          <w:tcPr>
            <w:tcW w:w="1843" w:type="dxa"/>
            <w:vAlign w:val="center"/>
          </w:tcPr>
          <w:p w14:paraId="40FBCE62" w14:textId="77777777" w:rsidR="003F3910" w:rsidRPr="00E17FE7" w:rsidRDefault="003F3910" w:rsidP="00941932">
            <w:pPr>
              <w:pStyle w:val="TAH"/>
              <w:rPr>
                <w:rFonts w:eastAsia="Batang"/>
              </w:rPr>
            </w:pPr>
            <w:r w:rsidRPr="00E17FE7">
              <w:rPr>
                <w:rFonts w:eastAsia="Batang"/>
                <w:position w:val="-10"/>
              </w:rPr>
              <w:object w:dxaOrig="1498" w:dyaOrig="339" w14:anchorId="5B1E50AB">
                <v:shape id="对象 262" o:spid="_x0000_i1026" type="#_x0000_t75" style="width:76.5pt;height:16.5pt;mso-position-horizontal-relative:page;mso-position-vertical-relative:page" o:ole="">
                  <v:imagedata r:id="rId12" o:title=""/>
                </v:shape>
                <o:OLEObject Type="Embed" ProgID="Equation.3" ShapeID="对象 262" DrawAspect="Content" ObjectID="_1599655701" r:id="rId13"/>
              </w:object>
            </w:r>
          </w:p>
        </w:tc>
        <w:tc>
          <w:tcPr>
            <w:tcW w:w="1843" w:type="dxa"/>
            <w:vAlign w:val="center"/>
          </w:tcPr>
          <w:p w14:paraId="17294C7D" w14:textId="77777777" w:rsidR="003F3910" w:rsidRPr="00E17FE7" w:rsidRDefault="003F3910" w:rsidP="00941932">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3F3910" w14:paraId="33810D29" w14:textId="77777777" w:rsidTr="00941932">
        <w:trPr>
          <w:jc w:val="center"/>
        </w:trPr>
        <w:tc>
          <w:tcPr>
            <w:tcW w:w="1129" w:type="dxa"/>
          </w:tcPr>
          <w:p w14:paraId="7F7F4341" w14:textId="77777777" w:rsidR="003F3910" w:rsidRPr="00E17FE7" w:rsidRDefault="003F3910" w:rsidP="00941932">
            <w:pPr>
              <w:pStyle w:val="TAC"/>
              <w:rPr>
                <w:rFonts w:eastAsia="Batang"/>
              </w:rPr>
            </w:pPr>
            <w:r w:rsidRPr="00E17FE7">
              <w:rPr>
                <w:rFonts w:eastAsia="Batang"/>
              </w:rPr>
              <w:t>0</w:t>
            </w:r>
          </w:p>
        </w:tc>
        <w:tc>
          <w:tcPr>
            <w:tcW w:w="1843" w:type="dxa"/>
          </w:tcPr>
          <w:p w14:paraId="50441D82" w14:textId="77777777" w:rsidR="003F3910" w:rsidRPr="00E17FE7" w:rsidRDefault="003F3910" w:rsidP="00941932">
            <w:pPr>
              <w:pStyle w:val="TAC"/>
              <w:rPr>
                <w:rFonts w:eastAsia="Batang"/>
              </w:rPr>
            </w:pPr>
            <w:r w:rsidRPr="00E17FE7">
              <w:rPr>
                <w:rFonts w:eastAsia="Batang"/>
              </w:rPr>
              <w:t>15</w:t>
            </w:r>
          </w:p>
        </w:tc>
        <w:tc>
          <w:tcPr>
            <w:tcW w:w="1843" w:type="dxa"/>
          </w:tcPr>
          <w:p w14:paraId="602CD8AB" w14:textId="77777777" w:rsidR="003F3910" w:rsidRPr="00E17FE7" w:rsidRDefault="003F3910" w:rsidP="00941932">
            <w:pPr>
              <w:pStyle w:val="TAC"/>
              <w:rPr>
                <w:lang w:eastAsia="zh-CN"/>
              </w:rPr>
            </w:pPr>
            <w:r>
              <w:rPr>
                <w:rFonts w:hint="eastAsia"/>
                <w:lang w:val="en-US" w:eastAsia="zh-CN"/>
              </w:rPr>
              <w:t>1</w:t>
            </w:r>
          </w:p>
        </w:tc>
      </w:tr>
      <w:tr w:rsidR="003F3910" w14:paraId="3DC5357B" w14:textId="77777777" w:rsidTr="00941932">
        <w:trPr>
          <w:jc w:val="center"/>
        </w:trPr>
        <w:tc>
          <w:tcPr>
            <w:tcW w:w="1129" w:type="dxa"/>
          </w:tcPr>
          <w:p w14:paraId="78E2AD17" w14:textId="77777777" w:rsidR="003F3910" w:rsidRPr="00E17FE7" w:rsidRDefault="003F3910" w:rsidP="00941932">
            <w:pPr>
              <w:pStyle w:val="TAC"/>
              <w:rPr>
                <w:rFonts w:eastAsia="Batang"/>
              </w:rPr>
            </w:pPr>
            <w:r w:rsidRPr="00E17FE7">
              <w:rPr>
                <w:rFonts w:eastAsia="Batang"/>
              </w:rPr>
              <w:t>1</w:t>
            </w:r>
          </w:p>
        </w:tc>
        <w:tc>
          <w:tcPr>
            <w:tcW w:w="1843" w:type="dxa"/>
          </w:tcPr>
          <w:p w14:paraId="2B174B56" w14:textId="77777777" w:rsidR="003F3910" w:rsidRPr="00E17FE7" w:rsidRDefault="003F3910" w:rsidP="00941932">
            <w:pPr>
              <w:pStyle w:val="TAC"/>
              <w:rPr>
                <w:rFonts w:eastAsia="Batang"/>
              </w:rPr>
            </w:pPr>
            <w:r w:rsidRPr="00E17FE7">
              <w:rPr>
                <w:rFonts w:eastAsia="Batang"/>
              </w:rPr>
              <w:t>30</w:t>
            </w:r>
          </w:p>
        </w:tc>
        <w:tc>
          <w:tcPr>
            <w:tcW w:w="1843" w:type="dxa"/>
          </w:tcPr>
          <w:p w14:paraId="37B1DF03" w14:textId="77777777" w:rsidR="003F3910" w:rsidRDefault="003F3910" w:rsidP="00941932">
            <w:pPr>
              <w:pStyle w:val="TAC"/>
              <w:rPr>
                <w:lang w:val="en-US" w:eastAsia="zh-CN"/>
              </w:rPr>
            </w:pPr>
            <w:r>
              <w:rPr>
                <w:rFonts w:hint="eastAsia"/>
                <w:lang w:val="en-US" w:eastAsia="zh-CN"/>
              </w:rPr>
              <w:t>1</w:t>
            </w:r>
          </w:p>
        </w:tc>
      </w:tr>
      <w:tr w:rsidR="003F3910" w14:paraId="128A58C0" w14:textId="77777777" w:rsidTr="00941932">
        <w:trPr>
          <w:jc w:val="center"/>
        </w:trPr>
        <w:tc>
          <w:tcPr>
            <w:tcW w:w="1129" w:type="dxa"/>
          </w:tcPr>
          <w:p w14:paraId="51A17CC9" w14:textId="77777777" w:rsidR="003F3910" w:rsidRPr="00E17FE7" w:rsidRDefault="003F3910" w:rsidP="00941932">
            <w:pPr>
              <w:pStyle w:val="TAC"/>
              <w:rPr>
                <w:rFonts w:eastAsia="Batang"/>
              </w:rPr>
            </w:pPr>
            <w:r w:rsidRPr="00E17FE7">
              <w:rPr>
                <w:rFonts w:eastAsia="Batang"/>
              </w:rPr>
              <w:t>2</w:t>
            </w:r>
          </w:p>
        </w:tc>
        <w:tc>
          <w:tcPr>
            <w:tcW w:w="1843" w:type="dxa"/>
          </w:tcPr>
          <w:p w14:paraId="3B3D0156" w14:textId="77777777" w:rsidR="003F3910" w:rsidRPr="00E17FE7" w:rsidRDefault="003F3910" w:rsidP="00941932">
            <w:pPr>
              <w:pStyle w:val="TAC"/>
              <w:rPr>
                <w:rFonts w:eastAsia="Batang"/>
              </w:rPr>
            </w:pPr>
            <w:r w:rsidRPr="00E17FE7">
              <w:rPr>
                <w:rFonts w:eastAsia="Batang"/>
              </w:rPr>
              <w:t>60</w:t>
            </w:r>
          </w:p>
        </w:tc>
        <w:tc>
          <w:tcPr>
            <w:tcW w:w="1843" w:type="dxa"/>
          </w:tcPr>
          <w:p w14:paraId="2E6923AC" w14:textId="77777777" w:rsidR="003F3910" w:rsidRDefault="003F3910" w:rsidP="00941932">
            <w:pPr>
              <w:pStyle w:val="TAC"/>
              <w:rPr>
                <w:lang w:val="en-US" w:eastAsia="zh-CN"/>
              </w:rPr>
            </w:pPr>
            <w:r>
              <w:rPr>
                <w:rFonts w:hint="eastAsia"/>
                <w:lang w:val="en-US" w:eastAsia="zh-CN"/>
              </w:rPr>
              <w:t>1</w:t>
            </w:r>
          </w:p>
        </w:tc>
      </w:tr>
      <w:tr w:rsidR="003F3910" w14:paraId="4637FA8C" w14:textId="77777777" w:rsidTr="00941932">
        <w:trPr>
          <w:jc w:val="center"/>
        </w:trPr>
        <w:tc>
          <w:tcPr>
            <w:tcW w:w="1129" w:type="dxa"/>
          </w:tcPr>
          <w:p w14:paraId="607B7A5E" w14:textId="77777777" w:rsidR="003F3910" w:rsidRPr="00E17FE7" w:rsidRDefault="003F3910" w:rsidP="00941932">
            <w:pPr>
              <w:pStyle w:val="TAC"/>
              <w:rPr>
                <w:rFonts w:eastAsia="Batang"/>
              </w:rPr>
            </w:pPr>
            <w:r w:rsidRPr="00E17FE7">
              <w:rPr>
                <w:rFonts w:eastAsia="Batang"/>
              </w:rPr>
              <w:t>3</w:t>
            </w:r>
          </w:p>
        </w:tc>
        <w:tc>
          <w:tcPr>
            <w:tcW w:w="1843" w:type="dxa"/>
          </w:tcPr>
          <w:p w14:paraId="7C123FF6" w14:textId="77777777" w:rsidR="003F3910" w:rsidRPr="00E17FE7" w:rsidRDefault="003F3910" w:rsidP="00941932">
            <w:pPr>
              <w:pStyle w:val="TAC"/>
              <w:rPr>
                <w:rFonts w:eastAsia="Batang"/>
              </w:rPr>
            </w:pPr>
            <w:r w:rsidRPr="00E17FE7">
              <w:rPr>
                <w:rFonts w:eastAsia="Batang"/>
              </w:rPr>
              <w:t>120</w:t>
            </w:r>
          </w:p>
        </w:tc>
        <w:tc>
          <w:tcPr>
            <w:tcW w:w="1843" w:type="dxa"/>
          </w:tcPr>
          <w:p w14:paraId="632CBC12" w14:textId="77777777" w:rsidR="003F3910" w:rsidRDefault="003F3910" w:rsidP="00941932">
            <w:pPr>
              <w:pStyle w:val="TAC"/>
              <w:rPr>
                <w:lang w:val="en-US" w:eastAsia="zh-CN"/>
              </w:rPr>
            </w:pPr>
            <w:r>
              <w:rPr>
                <w:rFonts w:hint="eastAsia"/>
                <w:lang w:val="en-US" w:eastAsia="zh-CN"/>
              </w:rPr>
              <w:t>2</w:t>
            </w:r>
          </w:p>
        </w:tc>
      </w:tr>
    </w:tbl>
    <w:p w14:paraId="5EDF10D7" w14:textId="6026EF01" w:rsidR="00B37396" w:rsidRDefault="00B37396" w:rsidP="00B37396">
      <w:pPr>
        <w:rPr>
          <w:lang w:val="en-US"/>
        </w:rPr>
      </w:pPr>
    </w:p>
    <w:p w14:paraId="344D3D79" w14:textId="2FE188A6" w:rsidR="009114E8" w:rsidRDefault="009114E8" w:rsidP="009114E8">
      <w:pPr>
        <w:pStyle w:val="Heading2"/>
        <w:rPr>
          <w:lang w:val="en-US"/>
        </w:rPr>
      </w:pPr>
      <w:r>
        <w:rPr>
          <w:lang w:val="en-US"/>
        </w:rPr>
        <w:t xml:space="preserve"> </w:t>
      </w:r>
      <w:r w:rsidR="004832FA">
        <w:rPr>
          <w:lang w:val="en-US"/>
        </w:rPr>
        <w:t>Switching time between two SRS symbols one belonging antenna switching and the other to a different resource set</w:t>
      </w:r>
    </w:p>
    <w:p w14:paraId="61A4197A" w14:textId="2D82BFA0" w:rsidR="009114E8" w:rsidRDefault="004832FA" w:rsidP="00B37396">
      <w:pPr>
        <w:rPr>
          <w:lang w:val="en-US"/>
        </w:rPr>
      </w:pPr>
      <w:r>
        <w:rPr>
          <w:lang w:val="en-US"/>
        </w:rPr>
        <w:t xml:space="preserve">SRS switching usage can be of 4 categories as shown below: </w:t>
      </w:r>
    </w:p>
    <w:p w14:paraId="1A7872C7" w14:textId="2A9EBE1F" w:rsidR="004832FA" w:rsidRDefault="004832FA" w:rsidP="004832FA">
      <w:pPr>
        <w:autoSpaceDE w:val="0"/>
        <w:autoSpaceDN w:val="0"/>
        <w:spacing w:before="40" w:after="40"/>
        <w:rPr>
          <w:lang w:val="en-US"/>
        </w:rPr>
      </w:pPr>
      <w:r w:rsidRPr="004832FA">
        <w:rPr>
          <w:sz w:val="24"/>
          <w:szCs w:val="24"/>
          <w:highlight w:val="yellow"/>
        </w:rPr>
        <w:t>usage       </w:t>
      </w:r>
      <w:r w:rsidRPr="004832FA">
        <w:rPr>
          <w:color w:val="993366"/>
          <w:sz w:val="24"/>
          <w:szCs w:val="24"/>
          <w:highlight w:val="yellow"/>
        </w:rPr>
        <w:t>ENUMERATED</w:t>
      </w:r>
      <w:r w:rsidRPr="004832FA">
        <w:rPr>
          <w:sz w:val="24"/>
          <w:szCs w:val="24"/>
          <w:highlight w:val="yellow"/>
        </w:rPr>
        <w:t> {</w:t>
      </w:r>
      <w:proofErr w:type="spellStart"/>
      <w:r w:rsidRPr="004832FA">
        <w:rPr>
          <w:sz w:val="24"/>
          <w:szCs w:val="24"/>
          <w:highlight w:val="yellow"/>
        </w:rPr>
        <w:t>beamManagement</w:t>
      </w:r>
      <w:proofErr w:type="spellEnd"/>
      <w:r w:rsidRPr="004832FA">
        <w:rPr>
          <w:sz w:val="24"/>
          <w:szCs w:val="24"/>
          <w:highlight w:val="yellow"/>
        </w:rPr>
        <w:t xml:space="preserve">, codebook, </w:t>
      </w:r>
      <w:proofErr w:type="spellStart"/>
      <w:r w:rsidRPr="004832FA">
        <w:rPr>
          <w:sz w:val="24"/>
          <w:szCs w:val="24"/>
          <w:highlight w:val="yellow"/>
        </w:rPr>
        <w:t>nonCodebook</w:t>
      </w:r>
      <w:proofErr w:type="spellEnd"/>
      <w:r w:rsidRPr="004832FA">
        <w:rPr>
          <w:sz w:val="24"/>
          <w:szCs w:val="24"/>
          <w:highlight w:val="yellow"/>
        </w:rPr>
        <w:t xml:space="preserve">, </w:t>
      </w:r>
      <w:proofErr w:type="spellStart"/>
      <w:r w:rsidRPr="004832FA">
        <w:rPr>
          <w:sz w:val="24"/>
          <w:szCs w:val="24"/>
          <w:highlight w:val="yellow"/>
        </w:rPr>
        <w:t>antennaSwitching</w:t>
      </w:r>
      <w:proofErr w:type="spellEnd"/>
      <w:r w:rsidRPr="004832FA">
        <w:rPr>
          <w:sz w:val="24"/>
          <w:szCs w:val="24"/>
          <w:highlight w:val="yellow"/>
        </w:rPr>
        <w:t>},</w:t>
      </w:r>
      <w:r>
        <w:rPr>
          <w:rFonts w:ascii="Segoe UI" w:hAnsi="Segoe UI" w:cs="Segoe UI"/>
          <w:color w:val="000000"/>
        </w:rPr>
        <w:t xml:space="preserve"> </w:t>
      </w:r>
    </w:p>
    <w:p w14:paraId="0BFE3997" w14:textId="220C0CF8" w:rsidR="004832FA" w:rsidRDefault="004832FA" w:rsidP="00B37396">
      <w:pPr>
        <w:rPr>
          <w:lang w:val="en-US"/>
        </w:rPr>
      </w:pPr>
    </w:p>
    <w:p w14:paraId="435A415D" w14:textId="6D6BB5FF" w:rsidR="004832FA" w:rsidRDefault="004832FA" w:rsidP="00B37396">
      <w:pPr>
        <w:rPr>
          <w:lang w:val="en-US"/>
        </w:rPr>
      </w:pPr>
      <w:r>
        <w:rPr>
          <w:lang w:val="en-US"/>
        </w:rPr>
        <w:t xml:space="preserve">Section 2.2 covers the usage case for </w:t>
      </w:r>
      <w:r w:rsidR="00CD1EF8">
        <w:rPr>
          <w:lang w:val="en-US"/>
        </w:rPr>
        <w:t>‘</w:t>
      </w:r>
      <w:proofErr w:type="spellStart"/>
      <w:r w:rsidR="00CD1EF8">
        <w:rPr>
          <w:lang w:val="en-US"/>
        </w:rPr>
        <w:t>antennaSwitching</w:t>
      </w:r>
      <w:proofErr w:type="spellEnd"/>
      <w:r w:rsidR="00CD1EF8">
        <w:rPr>
          <w:lang w:val="en-US"/>
        </w:rPr>
        <w:t xml:space="preserve">’. For all the other use cases the below figure captures the transient period. </w:t>
      </w:r>
    </w:p>
    <w:p w14:paraId="5831D6CB" w14:textId="34F184CE" w:rsidR="00CD1EF8" w:rsidRDefault="00CD1EF8" w:rsidP="00B37396">
      <w:pPr>
        <w:rPr>
          <w:lang w:val="en-US"/>
        </w:rPr>
      </w:pPr>
    </w:p>
    <w:p w14:paraId="3080A5B5" w14:textId="5261E68C" w:rsidR="00CD1EF8" w:rsidRDefault="00CD1EF8" w:rsidP="00B37396">
      <w:pPr>
        <w:rPr>
          <w:lang w:val="en-US"/>
        </w:rPr>
      </w:pPr>
    </w:p>
    <w:p w14:paraId="10D661E1" w14:textId="0B75A020" w:rsidR="00CD1EF8" w:rsidRDefault="00CD1EF8" w:rsidP="00B37396">
      <w:pPr>
        <w:rPr>
          <w:lang w:val="en-US"/>
        </w:rPr>
      </w:pPr>
    </w:p>
    <w:p w14:paraId="3A8CA59F" w14:textId="40BA8EDE" w:rsidR="00CD1EF8" w:rsidRDefault="00CD1EF8" w:rsidP="00B37396">
      <w:pPr>
        <w:rPr>
          <w:lang w:val="en-US"/>
        </w:rPr>
      </w:pPr>
    </w:p>
    <w:p w14:paraId="5007A6C6" w14:textId="138A7A82" w:rsidR="00CD1EF8" w:rsidRDefault="002F291E" w:rsidP="00B37396">
      <w:pPr>
        <w:rPr>
          <w:lang w:val="en-US"/>
        </w:rPr>
      </w:pPr>
      <w:r>
        <w:rPr>
          <w:b/>
          <w:noProof/>
          <w:lang w:val="en-US"/>
        </w:rPr>
        <w:lastRenderedPageBreak/>
        <mc:AlternateContent>
          <mc:Choice Requires="wps">
            <w:drawing>
              <wp:anchor distT="0" distB="0" distL="114300" distR="114300" simplePos="0" relativeHeight="251664384" behindDoc="0" locked="0" layoutInCell="1" allowOverlap="1" wp14:anchorId="5E5D1E98" wp14:editId="5F5CB25D">
                <wp:simplePos x="0" y="0"/>
                <wp:positionH relativeFrom="margin">
                  <wp:align>left</wp:align>
                </wp:positionH>
                <wp:positionV relativeFrom="paragraph">
                  <wp:posOffset>-144318</wp:posOffset>
                </wp:positionV>
                <wp:extent cx="6293922" cy="3212275"/>
                <wp:effectExtent l="0" t="0" r="12065" b="26670"/>
                <wp:wrapNone/>
                <wp:docPr id="51" name="Rectangle 51"/>
                <wp:cNvGraphicFramePr/>
                <a:graphic xmlns:a="http://schemas.openxmlformats.org/drawingml/2006/main">
                  <a:graphicData uri="http://schemas.microsoft.com/office/word/2010/wordprocessingShape">
                    <wps:wsp>
                      <wps:cNvSpPr/>
                      <wps:spPr>
                        <a:xfrm>
                          <a:off x="0" y="0"/>
                          <a:ext cx="6293922" cy="3212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8DEAEF" id="Rectangle 51" o:spid="_x0000_s1026" style="position:absolute;margin-left:0;margin-top:-11.35pt;width:495.6pt;height:252.95pt;z-index:2516643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mZBewIAAEcFAAAOAAAAZHJzL2Uyb0RvYy54bWysVE1PGzEQvVfqf7B8L5sshI+IDYpAVJUQ&#10;IKDibLx2diXb446dbNJf37F3syBAPVTNwbE9M29m3r7x+cXWGrZRGFpwFZ8eTDhTTkLdulXFfz5d&#10;fzvlLEThamHAqYrvVOAXi69fzjs/VyU0YGqFjEBcmHe+4k2Mfl4UQTbKinAAXjkyakArIh1xVdQo&#10;OkK3pignk+OiA6w9glQh0O1Vb+SLjK+1kvFO66AiMxWn2mJeMa8vaS0W52K+QuGbVg5liH+oworW&#10;UdIR6kpEwdbYfoCyrUQIoOOBBFuA1q1UuQfqZjp5181jI7zKvRA5wY80hf8HK28398jauuKzKWdO&#10;WPpGD8SacCujGN0RQZ0Pc/J79Pc4nAJtU7dbjTb9Ux9sm0ndjaSqbWSSLo/Ls8OzsuRMku2wnJbl&#10;ySyhFq/hHkP8rsCytKk4Uv5MptjchNi77l1SNgfXrTHpPlXW15J3cWdUcjDuQWlqirKXGSjLSV0a&#10;ZBtBQhBSKhenvakRteqvZxP6DaWNEbnQDJiQNSUesQeAJNWP2H3Zg38KVVmNY/Dkb4X1wWNEzgwu&#10;jsG2dYCfARjqasjc++9J6qlJLL1AvaNPjtDPQvDyuiXab0SI9wJJ/DQmNNDxjhZtoKs4DDvOGsDf&#10;n90nf9IkWTnraJgqHn6tBSrOzA9Haj2bHh2l6cuHo9lJSQd8a3l5a3Frewn0mUiQVF3eJv9o9luN&#10;YJ9p7pcpK5mEk5S74jLi/nAZ+yGnl0Oq5TK70cR5EW/co5cJPLGaZPW0fRboB+1Fku0t7AdPzN9J&#10;sPdNkQ6W6wi6zfp85XXgm6Y1C2d4WdJz8PacvV7fv8UfAAAA//8DAFBLAwQUAAYACAAAACEARtP9&#10;NeEAAAAIAQAADwAAAGRycy9kb3ducmV2LnhtbEyPQUvDQBSE74L/YXmCt3aTqLWNeSmpIIiC0LQU&#10;vW2zr0kw+zZmt238964nPQ4zzHyTLUfTiRMNrrWMEE8jEMSV1S3XCNvN02QOwnnFWnWWCeGbHCzz&#10;y4tMpdqeeU2n0tcilLBLFULjfZ9K6aqGjHJT2xMH72AHo3yQQy31oM6h3HQyiaKZNKrlsNConh4b&#10;qj7Lo0HYre8OtFrNtvLto/gq4vJ5fH15R7y+GosHEJ5G/xeGX/yADnlg2tsjayc6hHDEI0yS5B5E&#10;sBeLOAGxR7id3yQg80z+P5D/AAAA//8DAFBLAQItABQABgAIAAAAIQC2gziS/gAAAOEBAAATAAAA&#10;AAAAAAAAAAAAAAAAAABbQ29udGVudF9UeXBlc10ueG1sUEsBAi0AFAAGAAgAAAAhADj9If/WAAAA&#10;lAEAAAsAAAAAAAAAAAAAAAAALwEAAF9yZWxzLy5yZWxzUEsBAi0AFAAGAAgAAAAhADt2ZkF7AgAA&#10;RwUAAA4AAAAAAAAAAAAAAAAALgIAAGRycy9lMm9Eb2MueG1sUEsBAi0AFAAGAAgAAAAhAEbT/TXh&#10;AAAACAEAAA8AAAAAAAAAAAAAAAAA1QQAAGRycy9kb3ducmV2LnhtbFBLBQYAAAAABAAEAPMAAADj&#10;BQAAAAA=&#10;" filled="f" strokecolor="#1f3763 [1604]" strokeweight="1pt">
                <w10:wrap anchorx="margin"/>
              </v:rect>
            </w:pict>
          </mc:Fallback>
        </mc:AlternateContent>
      </w:r>
      <w:r w:rsidR="00CD1EF8" w:rsidRPr="0066442F">
        <w:rPr>
          <w:b/>
          <w:lang w:val="en-US"/>
        </w:rPr>
        <w:t>Proposal 2:</w:t>
      </w:r>
      <w:r w:rsidR="00CD1EF8">
        <w:rPr>
          <w:lang w:val="en-US"/>
        </w:rPr>
        <w:t xml:space="preserve"> </w:t>
      </w:r>
      <w:r w:rsidR="0066442F">
        <w:rPr>
          <w:lang w:val="en-US"/>
        </w:rPr>
        <w:t xml:space="preserve">For the case when SRS switching usage is other than for </w:t>
      </w:r>
      <w:proofErr w:type="spellStart"/>
      <w:r w:rsidR="0066442F">
        <w:rPr>
          <w:lang w:val="en-US"/>
        </w:rPr>
        <w:t>antennaSwitching</w:t>
      </w:r>
      <w:proofErr w:type="spellEnd"/>
      <w:r w:rsidR="0066442F">
        <w:rPr>
          <w:lang w:val="en-US"/>
        </w:rPr>
        <w:t xml:space="preserve"> and when SRS is transmitted in consecutive symbols then the below figure captures the transient period. </w:t>
      </w:r>
    </w:p>
    <w:p w14:paraId="220EDA07" w14:textId="0055A69B" w:rsidR="00CD1EF8" w:rsidRDefault="00CD1EF8" w:rsidP="00B37396">
      <w:pPr>
        <w:rPr>
          <w:lang w:val="en-US"/>
        </w:rPr>
      </w:pPr>
    </w:p>
    <w:p w14:paraId="47734917" w14:textId="06F9A4FB" w:rsidR="00CD1EF8" w:rsidRDefault="00CD1EF8" w:rsidP="00B37396">
      <w:pPr>
        <w:rPr>
          <w:lang w:val="en-US"/>
        </w:rPr>
      </w:pPr>
      <w:r>
        <w:rPr>
          <w:noProof/>
          <w:lang w:val="en-US"/>
        </w:rPr>
        <w:drawing>
          <wp:inline distT="0" distB="0" distL="0" distR="0" wp14:anchorId="5C766F77" wp14:editId="164C5120">
            <wp:extent cx="6335182" cy="15215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3426" cy="1523565"/>
                    </a:xfrm>
                    <a:prstGeom prst="rect">
                      <a:avLst/>
                    </a:prstGeom>
                    <a:noFill/>
                  </pic:spPr>
                </pic:pic>
              </a:graphicData>
            </a:graphic>
          </wp:inline>
        </w:drawing>
      </w:r>
    </w:p>
    <w:p w14:paraId="08104415" w14:textId="11FA8284" w:rsidR="00CD1EF8" w:rsidRDefault="00CD1EF8" w:rsidP="00B37396">
      <w:pPr>
        <w:rPr>
          <w:lang w:val="en-US"/>
        </w:rPr>
      </w:pPr>
    </w:p>
    <w:p w14:paraId="64660A55" w14:textId="77777777" w:rsidR="00AE1E3C" w:rsidRPr="00611CC4" w:rsidRDefault="00AE1E3C" w:rsidP="00AE1E3C">
      <w:pPr>
        <w:pStyle w:val="TF"/>
      </w:pPr>
      <w:r w:rsidRPr="00611CC4">
        <w:t xml:space="preserve">Figure </w:t>
      </w:r>
      <w:r w:rsidRPr="00611CC4">
        <w:rPr>
          <w:rFonts w:eastAsia="MS Mincho"/>
        </w:rPr>
        <w:t>6.3.3.6-</w:t>
      </w:r>
      <w:r>
        <w:rPr>
          <w:rFonts w:eastAsia="MS Mincho"/>
        </w:rPr>
        <w:t>5</w:t>
      </w:r>
      <w:r w:rsidRPr="00611CC4">
        <w:t xml:space="preserve">: </w:t>
      </w:r>
      <w:r>
        <w:t>FR1 T</w:t>
      </w:r>
      <w:r w:rsidRPr="00611CC4">
        <w:t xml:space="preserve">ime mask for 15kHz and 30kHz SCS </w:t>
      </w:r>
      <w:r>
        <w:t xml:space="preserve">for </w:t>
      </w:r>
      <w:r w:rsidRPr="00611CC4">
        <w:t xml:space="preserve">the case when </w:t>
      </w:r>
      <w:r>
        <w:t>consecutive SRS switching usage is between antenna switching</w:t>
      </w:r>
      <w:r w:rsidRPr="00611CC4">
        <w:t xml:space="preserve"> </w:t>
      </w:r>
      <w:r>
        <w:t xml:space="preserve">&amp; other sets </w:t>
      </w:r>
    </w:p>
    <w:p w14:paraId="5D07D638" w14:textId="715E3DE7" w:rsidR="00CD1EF8" w:rsidRDefault="00CD1EF8" w:rsidP="00B37396">
      <w:pPr>
        <w:rPr>
          <w:lang w:val="en-US"/>
        </w:rPr>
      </w:pPr>
      <w:bookmarkStart w:id="1" w:name="_GoBack"/>
      <w:bookmarkEnd w:id="1"/>
    </w:p>
    <w:p w14:paraId="1B96B589" w14:textId="26E3153C" w:rsidR="00CD1EF8" w:rsidRDefault="005F5C6A" w:rsidP="005F5C6A">
      <w:pPr>
        <w:pStyle w:val="Heading2"/>
        <w:rPr>
          <w:lang w:val="en-US"/>
        </w:rPr>
      </w:pPr>
      <w:r>
        <w:rPr>
          <w:lang w:val="en-US"/>
        </w:rPr>
        <w:t xml:space="preserve"> Discussion on Inter-band CA </w:t>
      </w:r>
    </w:p>
    <w:p w14:paraId="5F74F0D0" w14:textId="67819177" w:rsidR="00CD1EF8" w:rsidRDefault="00B252DB" w:rsidP="00B37396">
      <w:pPr>
        <w:rPr>
          <w:lang w:val="en-US"/>
        </w:rPr>
      </w:pPr>
      <w:r>
        <w:rPr>
          <w:b/>
          <w:noProof/>
          <w:lang w:val="en-US"/>
        </w:rPr>
        <mc:AlternateContent>
          <mc:Choice Requires="wps">
            <w:drawing>
              <wp:anchor distT="0" distB="0" distL="114300" distR="114300" simplePos="0" relativeHeight="251666432" behindDoc="0" locked="0" layoutInCell="1" allowOverlap="1" wp14:anchorId="587FB022" wp14:editId="0A0E09A1">
                <wp:simplePos x="0" y="0"/>
                <wp:positionH relativeFrom="margin">
                  <wp:posOffset>-39799</wp:posOffset>
                </wp:positionH>
                <wp:positionV relativeFrom="paragraph">
                  <wp:posOffset>220642</wp:posOffset>
                </wp:positionV>
                <wp:extent cx="6293922" cy="1983179"/>
                <wp:effectExtent l="0" t="0" r="12065" b="17145"/>
                <wp:wrapNone/>
                <wp:docPr id="52" name="Rectangle 52"/>
                <wp:cNvGraphicFramePr/>
                <a:graphic xmlns:a="http://schemas.openxmlformats.org/drawingml/2006/main">
                  <a:graphicData uri="http://schemas.microsoft.com/office/word/2010/wordprocessingShape">
                    <wps:wsp>
                      <wps:cNvSpPr/>
                      <wps:spPr>
                        <a:xfrm>
                          <a:off x="0" y="0"/>
                          <a:ext cx="6293922" cy="198317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9FF9B2" id="Rectangle 52" o:spid="_x0000_s1026" style="position:absolute;margin-left:-3.15pt;margin-top:17.35pt;width:495.6pt;height:156.15pt;z-index:251666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NF8ewIAAEcFAAAOAAAAZHJzL2Uyb0RvYy54bWysVE1v2zAMvQ/YfxB0Xx27nwniFEGLDgOK&#10;tmg79KzIUmxAFjVKiZP9+lGy4xZtscOwHBRJJB/J50fNL3etYVuFvgFb8vxowpmyEqrGrkv+8/nm&#10;2wVnPghbCQNWlXyvPL9cfP0y79xMFVCDqRQyArF+1rmS1yG4WZZ5WatW+CNwypJRA7Yi0BHXWYWi&#10;I/TWZMVkcpZ1gJVDkMp7ur3ujXyR8LVWMtxr7VVgpuRUW0grpnUV12wxF7M1Clc3cihD/EMVrWgs&#10;JR2hrkUQbIPNB6i2kQgedDiS0GagdSNV6oG6ySfvunmqhVOpFyLHu5Em//9g5d32AVlTlfy04MyK&#10;lr7RI7Em7NooRndEUOf8jPye3AMOJ0/b2O1OYxv/qQ+2S6TuR1LVLjBJl2fF9HhaELgkWz69OM7P&#10;pxE1ew136MN3BS2Lm5Ij5U9kiu2tD73rwSVms3DTGBPvY2V9LWkX9kZFB2MflaamKHuRgJKc1JVB&#10;thUkBCGlsiHvTbWoVH99OqHfUNoYkQpNgBFZU+IRewCIUv2I3Zc9+MdQldQ4Bk/+VlgfPEakzGDD&#10;GNw2FvAzAENdDZl7/wNJPTWRpRVUe/rkCP0seCdvGqL9VvjwIJDET2NCAx3uadEGupLDsOOsBvz9&#10;2X30J02SlbOOhqnk/tdGoOLM/LCk1ml+chKnLx1OTs8LOuBby+qtxW7aK6DPlNPT4WTaRv9gDluN&#10;0L7Q3C9jVjIJKyl3yWXAw+Eq9ENOL4dUy2Vyo4lzItzaJycjeGQ1yup59yLQDdoLJNs7OAyemL2T&#10;YO8bIy0sNwF0k/T5yuvAN01rEs7wssTn4O05eb2+f4s/AAAA//8DAFBLAwQUAAYACAAAACEAGTc5&#10;g+IAAAAJAQAADwAAAGRycy9kb3ducmV2LnhtbEyPT0vDQBDF74LfYRmht3bTP8Y2ZlJSQRAFobGI&#10;3rbZaRLMzsbsto3f3tWLHt+8x3u/SdeDacWJetdYRphOIhDEpdUNVwi7l/vxEoTzirVqLRPCFzlY&#10;Z5cXqUq0PfOWToWvRChhlyiE2vsukdKVNRnlJrYjDt7B9kb5IPtK6l6dQ7lp5SyKYmlUw2GhVh3d&#10;1VR+FEeD8Lq9PtBmE+/k83v+mU+Lh+Hp8Q1xdDXktyA8Df4vDD/4AR2ywLS3R9ZOtAjjeB6SCPPF&#10;DYjgr5aLFYj97yECmaXy/wfZNwAAAP//AwBQSwECLQAUAAYACAAAACEAtoM4kv4AAADhAQAAEwAA&#10;AAAAAAAAAAAAAAAAAAAAW0NvbnRlbnRfVHlwZXNdLnhtbFBLAQItABQABgAIAAAAIQA4/SH/1gAA&#10;AJQBAAALAAAAAAAAAAAAAAAAAC8BAABfcmVscy8ucmVsc1BLAQItABQABgAIAAAAIQBP2NF8ewIA&#10;AEcFAAAOAAAAAAAAAAAAAAAAAC4CAABkcnMvZTJvRG9jLnhtbFBLAQItABQABgAIAAAAIQAZNzmD&#10;4gAAAAkBAAAPAAAAAAAAAAAAAAAAANUEAABkcnMvZG93bnJldi54bWxQSwUGAAAAAAQABADzAAAA&#10;5AUAAAAA&#10;" filled="f" strokecolor="#1f3763 [1604]" strokeweight="1pt">
                <w10:wrap anchorx="margin"/>
              </v:rect>
            </w:pict>
          </mc:Fallback>
        </mc:AlternateContent>
      </w:r>
      <w:r w:rsidR="005F5C6A">
        <w:rPr>
          <w:lang w:val="en-US"/>
        </w:rPr>
        <w:t>Below is the RAN1 agreement in (</w:t>
      </w:r>
      <w:r>
        <w:rPr>
          <w:rFonts w:ascii="Segoe UI" w:hAnsi="Segoe UI" w:cs="Segoe UI"/>
          <w:color w:val="000000"/>
        </w:rPr>
        <w:t xml:space="preserve">Chairman Notes Agreement in RAN1 #93) </w:t>
      </w:r>
      <w:r w:rsidR="005F5C6A">
        <w:rPr>
          <w:lang w:val="en-US"/>
        </w:rPr>
        <w:t>for SRS switching for CA:</w:t>
      </w:r>
    </w:p>
    <w:p w14:paraId="6C1B9B4C" w14:textId="6A140068" w:rsidR="005F5C6A" w:rsidRPr="005F5C6A" w:rsidRDefault="005F5C6A" w:rsidP="005F5C6A">
      <w:pPr>
        <w:kinsoku w:val="0"/>
        <w:overflowPunct w:val="0"/>
        <w:spacing w:after="0"/>
        <w:textAlignment w:val="baseline"/>
        <w:rPr>
          <w:sz w:val="24"/>
          <w:szCs w:val="24"/>
          <w:lang w:val="en-US"/>
        </w:rPr>
      </w:pPr>
      <w:r w:rsidRPr="005F5C6A">
        <w:rPr>
          <w:rFonts w:eastAsia="+mn-ea"/>
          <w:color w:val="000000"/>
          <w:kern w:val="24"/>
          <w:sz w:val="24"/>
          <w:szCs w:val="24"/>
          <w:highlight w:val="green"/>
        </w:rPr>
        <w:t>Agreements</w:t>
      </w:r>
      <w:r w:rsidRPr="005F5C6A">
        <w:rPr>
          <w:rFonts w:eastAsia="+mn-ea"/>
          <w:b/>
          <w:bCs/>
          <w:color w:val="000000"/>
          <w:kern w:val="24"/>
          <w:sz w:val="24"/>
          <w:szCs w:val="24"/>
          <w:highlight w:val="green"/>
          <w:lang w:val="en-US"/>
        </w:rPr>
        <w:t>:</w:t>
      </w:r>
    </w:p>
    <w:p w14:paraId="7A219BF5" w14:textId="4C6ECC10"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The UE is not expected to be configured to transmit on the same OFDM symbol with an SRS resource and a PUCCH/PUSCH across different CCs in intra-band CA</w:t>
      </w:r>
    </w:p>
    <w:p w14:paraId="7668EED3" w14:textId="409714CE" w:rsidR="005F5C6A" w:rsidRPr="005F5C6A" w:rsidRDefault="005F5C6A" w:rsidP="005F5C6A">
      <w:pPr>
        <w:numPr>
          <w:ilvl w:val="1"/>
          <w:numId w:val="26"/>
        </w:numPr>
        <w:spacing w:after="0"/>
        <w:ind w:left="2434"/>
        <w:contextualSpacing/>
        <w:rPr>
          <w:sz w:val="24"/>
          <w:szCs w:val="24"/>
          <w:lang w:val="en-US"/>
        </w:rPr>
      </w:pPr>
      <w:r w:rsidRPr="005F5C6A">
        <w:rPr>
          <w:rFonts w:eastAsia="+mn-ea"/>
          <w:color w:val="000000"/>
          <w:kern w:val="24"/>
          <w:sz w:val="24"/>
          <w:szCs w:val="24"/>
        </w:rPr>
        <w:t>Note: no spec change is needed. </w:t>
      </w:r>
    </w:p>
    <w:p w14:paraId="329F195A" w14:textId="517AC802"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 xml:space="preserve">Parallel SRS and PUCCH/PUSCH transmissions across CCs </w:t>
      </w:r>
      <w:proofErr w:type="gramStart"/>
      <w:r w:rsidRPr="005F5C6A">
        <w:rPr>
          <w:rFonts w:eastAsia="+mn-ea"/>
          <w:color w:val="000000"/>
          <w:kern w:val="24"/>
          <w:sz w:val="24"/>
          <w:szCs w:val="24"/>
        </w:rPr>
        <w:t>is</w:t>
      </w:r>
      <w:proofErr w:type="gramEnd"/>
      <w:r w:rsidRPr="005F5C6A">
        <w:rPr>
          <w:rFonts w:eastAsia="+mn-ea"/>
          <w:color w:val="000000"/>
          <w:kern w:val="24"/>
          <w:sz w:val="24"/>
          <w:szCs w:val="24"/>
        </w:rPr>
        <w:t xml:space="preserve"> supported in inter-band CA. </w:t>
      </w:r>
    </w:p>
    <w:p w14:paraId="1C9C5F8C" w14:textId="7407368F" w:rsidR="005F5C6A" w:rsidRPr="005F5C6A" w:rsidRDefault="005F5C6A" w:rsidP="005F5C6A">
      <w:pPr>
        <w:numPr>
          <w:ilvl w:val="1"/>
          <w:numId w:val="26"/>
        </w:numPr>
        <w:spacing w:after="0"/>
        <w:ind w:left="2434"/>
        <w:contextualSpacing/>
        <w:rPr>
          <w:sz w:val="24"/>
          <w:szCs w:val="24"/>
          <w:lang w:val="en-US"/>
        </w:rPr>
      </w:pPr>
      <w:r w:rsidRPr="005F5C6A">
        <w:rPr>
          <w:rFonts w:eastAsia="+mn-ea"/>
          <w:color w:val="000000"/>
          <w:kern w:val="24"/>
          <w:sz w:val="24"/>
          <w:szCs w:val="24"/>
        </w:rPr>
        <w:t xml:space="preserve">Note: if case parallel SRS and PUCCH/PUSCH is supported, </w:t>
      </w:r>
      <w:r w:rsidRPr="005F5C6A">
        <w:rPr>
          <w:rFonts w:eastAsia="+mn-ea"/>
          <w:color w:val="000000"/>
          <w:kern w:val="24"/>
          <w:sz w:val="24"/>
          <w:szCs w:val="24"/>
          <w:highlight w:val="yellow"/>
        </w:rPr>
        <w:t>the SRS resource does not belong to a set which is for antenna switching</w:t>
      </w:r>
      <w:r w:rsidRPr="005F5C6A">
        <w:rPr>
          <w:rFonts w:eastAsia="+mn-ea"/>
          <w:color w:val="000000"/>
          <w:kern w:val="24"/>
          <w:sz w:val="24"/>
          <w:szCs w:val="24"/>
        </w:rPr>
        <w:t>, if the SRS resource set for antenna switching has more than one SRS resource (T &lt; R)</w:t>
      </w:r>
    </w:p>
    <w:p w14:paraId="360A4D22" w14:textId="63EC7C83"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Supporting of this feature is subject to UE capability which is a separate capability</w:t>
      </w:r>
      <w:r w:rsidRPr="005F5C6A">
        <w:rPr>
          <w:rFonts w:ascii="Segoe UI" w:eastAsia="+mn-ea" w:hAnsi="Segoe UI" w:cs="Segoe UI"/>
          <w:color w:val="000000"/>
          <w:kern w:val="24"/>
        </w:rPr>
        <w:t xml:space="preserve"> </w:t>
      </w:r>
    </w:p>
    <w:p w14:paraId="07066004" w14:textId="77777777" w:rsidR="005F5C6A" w:rsidRDefault="005F5C6A" w:rsidP="00B37396">
      <w:pPr>
        <w:rPr>
          <w:lang w:val="en-US"/>
        </w:rPr>
      </w:pPr>
    </w:p>
    <w:p w14:paraId="183B3413" w14:textId="630939E9" w:rsidR="00D23B35" w:rsidRPr="00D23B35" w:rsidRDefault="00B252DB" w:rsidP="00D23B35">
      <w:pPr>
        <w:pStyle w:val="ListParagraph"/>
        <w:overflowPunct/>
        <w:autoSpaceDE/>
        <w:autoSpaceDN/>
        <w:adjustRightInd/>
        <w:spacing w:after="0" w:line="216" w:lineRule="auto"/>
        <w:textAlignment w:val="auto"/>
        <w:rPr>
          <w:sz w:val="24"/>
          <w:szCs w:val="24"/>
          <w:lang w:val="en-US"/>
        </w:rPr>
      </w:pPr>
      <w:r w:rsidRPr="00D23B35">
        <w:rPr>
          <w:lang w:val="en-US"/>
        </w:rPr>
        <w:t xml:space="preserve"> </w:t>
      </w:r>
    </w:p>
    <w:p w14:paraId="23E2D773" w14:textId="216C8A19" w:rsidR="00D23B35" w:rsidRPr="00D23B35" w:rsidRDefault="00D23B35" w:rsidP="00D23B35">
      <w:pPr>
        <w:pStyle w:val="ListParagraph"/>
        <w:numPr>
          <w:ilvl w:val="0"/>
          <w:numId w:val="27"/>
        </w:numPr>
        <w:overflowPunct/>
        <w:autoSpaceDE/>
        <w:autoSpaceDN/>
        <w:adjustRightInd/>
        <w:spacing w:after="0" w:line="216" w:lineRule="auto"/>
        <w:textAlignment w:val="auto"/>
        <w:rPr>
          <w:sz w:val="24"/>
          <w:szCs w:val="24"/>
          <w:lang w:val="en-US"/>
        </w:rPr>
      </w:pPr>
      <w:r w:rsidRPr="00D23B35">
        <w:rPr>
          <w:rFonts w:eastAsia="+mn-ea"/>
          <w:color w:val="000000"/>
          <w:kern w:val="24"/>
          <w:sz w:val="24"/>
          <w:szCs w:val="36"/>
          <w:lang w:val="en-US"/>
        </w:rPr>
        <w:t xml:space="preserve">RAN1 agreements and specification precludes transmission of SRS with usage antenna switching on a carrier along with any other transmission (PUCCH/PUSCH) on another carrier for inter-band and intra-band scenarios </w:t>
      </w:r>
    </w:p>
    <w:p w14:paraId="507024ED" w14:textId="2ACEF971" w:rsidR="00D23B35" w:rsidRPr="00D23B35" w:rsidRDefault="00D23B35" w:rsidP="00D23B35">
      <w:pPr>
        <w:numPr>
          <w:ilvl w:val="1"/>
          <w:numId w:val="27"/>
        </w:numPr>
        <w:spacing w:after="0" w:line="216" w:lineRule="auto"/>
        <w:contextualSpacing/>
        <w:rPr>
          <w:sz w:val="22"/>
          <w:szCs w:val="24"/>
          <w:lang w:val="en-US"/>
        </w:rPr>
      </w:pPr>
      <w:r w:rsidRPr="00D23B35">
        <w:rPr>
          <w:rFonts w:eastAsia="+mn-ea"/>
          <w:color w:val="000000"/>
          <w:kern w:val="24"/>
          <w:sz w:val="22"/>
          <w:szCs w:val="32"/>
          <w:lang w:val="en-US"/>
        </w:rPr>
        <w:t xml:space="preserve">This is dues to the fact that switching physical antennas would impact multiple carrier transmissions (even if they belong to different bands). </w:t>
      </w:r>
    </w:p>
    <w:p w14:paraId="7945833E" w14:textId="18BC0B6D" w:rsidR="00D23B35" w:rsidRPr="00D23B35" w:rsidRDefault="00D23B35" w:rsidP="00D23B35">
      <w:pPr>
        <w:numPr>
          <w:ilvl w:val="0"/>
          <w:numId w:val="27"/>
        </w:numPr>
        <w:spacing w:after="0" w:line="216" w:lineRule="auto"/>
        <w:contextualSpacing/>
        <w:rPr>
          <w:sz w:val="24"/>
          <w:szCs w:val="24"/>
          <w:lang w:val="en-US"/>
        </w:rPr>
      </w:pPr>
      <w:r w:rsidRPr="00D23B35">
        <w:rPr>
          <w:rFonts w:eastAsia="+mn-ea"/>
          <w:color w:val="000000"/>
          <w:kern w:val="24"/>
          <w:sz w:val="24"/>
          <w:szCs w:val="36"/>
          <w:lang w:val="en-US"/>
        </w:rPr>
        <w:t xml:space="preserve">The switching transition time of 15us would also impact other carriers given that it is considered as a physical switching guard. </w:t>
      </w:r>
    </w:p>
    <w:p w14:paraId="7AC8D7FB" w14:textId="376361F5" w:rsidR="00D23B35" w:rsidRPr="00D23B35" w:rsidRDefault="00D23B35" w:rsidP="00D23B35">
      <w:pPr>
        <w:numPr>
          <w:ilvl w:val="1"/>
          <w:numId w:val="27"/>
        </w:numPr>
        <w:spacing w:after="0" w:line="216" w:lineRule="auto"/>
        <w:contextualSpacing/>
        <w:rPr>
          <w:szCs w:val="24"/>
          <w:lang w:val="en-US"/>
        </w:rPr>
      </w:pPr>
      <w:r w:rsidRPr="00D23B35">
        <w:rPr>
          <w:rFonts w:eastAsia="+mn-ea"/>
          <w:color w:val="000000"/>
          <w:kern w:val="24"/>
          <w:szCs w:val="28"/>
          <w:lang w:val="en-US"/>
        </w:rPr>
        <w:t xml:space="preserve">In case of multiple uplink timing advance groups, MTTD implies that the impact will not be aligned across carriers. </w:t>
      </w:r>
    </w:p>
    <w:p w14:paraId="7A50606D" w14:textId="36BBD374" w:rsidR="000438D0" w:rsidRPr="00D23B35" w:rsidRDefault="00073018" w:rsidP="00D23B35">
      <w:pPr>
        <w:numPr>
          <w:ilvl w:val="0"/>
          <w:numId w:val="27"/>
        </w:numPr>
        <w:rPr>
          <w:lang w:val="en-US"/>
        </w:rPr>
      </w:pPr>
      <w:r w:rsidRPr="00D23B35">
        <w:rPr>
          <w:lang w:val="en-US"/>
        </w:rPr>
        <w:t xml:space="preserve">For the cases that parallel SRS and PUCCH/PUSCH is supported for inter-band CA, the transient period of an SRS resource that belongs to a set which is for antenna switching, could impact the transmission of PUCCH/PUSCH of other carriers. </w:t>
      </w:r>
    </w:p>
    <w:p w14:paraId="72EFF678" w14:textId="7AB1D51C" w:rsidR="004832FA" w:rsidRDefault="00DD047B" w:rsidP="00B37396">
      <w:pPr>
        <w:rPr>
          <w:lang w:val="en-US"/>
        </w:rPr>
      </w:pPr>
      <w:r>
        <w:rPr>
          <w:b/>
          <w:noProof/>
          <w:lang w:val="en-US"/>
        </w:rPr>
        <mc:AlternateContent>
          <mc:Choice Requires="wps">
            <w:drawing>
              <wp:anchor distT="0" distB="0" distL="114300" distR="114300" simplePos="0" relativeHeight="251668480" behindDoc="0" locked="0" layoutInCell="1" allowOverlap="1" wp14:anchorId="1D2E1DA5" wp14:editId="40995C6D">
                <wp:simplePos x="0" y="0"/>
                <wp:positionH relativeFrom="margin">
                  <wp:posOffset>-158552</wp:posOffset>
                </wp:positionH>
                <wp:positionV relativeFrom="paragraph">
                  <wp:posOffset>119083</wp:posOffset>
                </wp:positionV>
                <wp:extent cx="6293485" cy="570016"/>
                <wp:effectExtent l="0" t="0" r="12065" b="20955"/>
                <wp:wrapNone/>
                <wp:docPr id="54" name="Rectangle 54"/>
                <wp:cNvGraphicFramePr/>
                <a:graphic xmlns:a="http://schemas.openxmlformats.org/drawingml/2006/main">
                  <a:graphicData uri="http://schemas.microsoft.com/office/word/2010/wordprocessingShape">
                    <wps:wsp>
                      <wps:cNvSpPr/>
                      <wps:spPr>
                        <a:xfrm>
                          <a:off x="0" y="0"/>
                          <a:ext cx="6293485" cy="5700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0945F7" id="Rectangle 54" o:spid="_x0000_s1026" style="position:absolute;margin-left:-12.5pt;margin-top:9.4pt;width:495.55pt;height:44.9pt;z-index:2516684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bN/ewIAAEYFAAAOAAAAZHJzL2Uyb0RvYy54bWysVFFP2zAQfp+0/2D5fSTtWgYVKapATJMQ&#10;IGDi2Th2E8n2eWe3affrd3bSgADtYVofXNt3993dl+98dr6zhm0VhhZcxSdHJWfKSahbt674z8er&#10;LyechShcLQw4VfG9Cvx8+fnTWecXagoNmFohIxAXFp2veBOjXxRFkI2yIhyBV46MGtCKSEdcFzWK&#10;jtCtKaZleVx0gLVHkCoEur3sjXyZ8bVWMt5qHVRkpuJUW8wr5vU5rcXyTCzWKHzTyqEM8Q9VWNE6&#10;SjpCXYoo2Abbd1C2lQgBdDySYAvQupUq90DdTMo33Tw0wqvcC5ET/EhT+H+w8mZ7h6ytKz6fceaE&#10;pW90T6wJtzaK0R0R1PmwIL8Hf4fDKdA2dbvTaNM/9cF2mdT9SKraRSbp8nh6+nV2MudMkm3+rSwn&#10;xwm0eIn2GOJ3BZalTcWR0mcuxfY6xN714JKSObhqjUn3qbC+lLyLe6OSg3H3SlNPlHyagbKa1IVB&#10;thWkAyGlcnHSmxpRq/56XtJvKG2MyIVmwISsKfGIPQAkpb7H7sse/FOoymIcg8u/FdYHjxE5M7g4&#10;BtvWAX4EYKirIXPvfyCppyax9Az1nr44Qj8Kwcurlmi/FiHeCSTt05TQPMdbWrSBruIw7DhrAH9/&#10;dJ/8SZJk5ayjWap4+LURqDgzPxyJ9XQym6Xhy4fZ/NuUDvja8vza4jb2AugzTejl8DJvk380h61G&#10;sE809quUlUzCScpdcRnxcLiI/YzTwyHVapXdaOC8iNfuwcsEnlhNsnrcPQn0g/YiqfYGDnMnFm8k&#10;2PumSAerTQTdZn2+8DrwTcOahTM8LOk1eH3OXi/P3/IPAAAA//8DAFBLAwQUAAYACAAAACEAExN0&#10;R+EAAAAKAQAADwAAAGRycy9kb3ducmV2LnhtbEyPQUvDQBCF74L/YRnBW7tJoUtMsympIIiC0FjE&#10;3rbJNAlmZ2N228Z/73iqx3nv8eZ92XqyvTjj6DtHGuJ5BAKpcnVHjYbd+9MsAeGDodr0jlDDD3pY&#10;57c3mUlrd6EtnsvQCC4hnxoNbQhDKqWvWrTGz92AxN7RjdYEPsdG1qO5cLnt5SKKlLSmI/7QmgEf&#10;W6y+ypPV8LFdHnGzUTv5ti++i7h8nl5fPrW+v5uKFYiAU7iG4W8+T4ecNx3ciWoveg2zxZJZAhsJ&#10;I3DgQakYxIGFKFEg80z+R8h/AQAA//8DAFBLAQItABQABgAIAAAAIQC2gziS/gAAAOEBAAATAAAA&#10;AAAAAAAAAAAAAAAAAABbQ29udGVudF9UeXBlc10ueG1sUEsBAi0AFAAGAAgAAAAhADj9If/WAAAA&#10;lAEAAAsAAAAAAAAAAAAAAAAALwEAAF9yZWxzLy5yZWxzUEsBAi0AFAAGAAgAAAAhAGRJs397AgAA&#10;RgUAAA4AAAAAAAAAAAAAAAAALgIAAGRycy9lMm9Eb2MueG1sUEsBAi0AFAAGAAgAAAAhABMTdEfh&#10;AAAACgEAAA8AAAAAAAAAAAAAAAAA1QQAAGRycy9kb3ducmV2LnhtbFBLBQYAAAAABAAEAPMAAADj&#10;BQAAAAA=&#10;" filled="f" strokecolor="#1f3763 [1604]" strokeweight="1pt">
                <w10:wrap anchorx="margin"/>
              </v:rect>
            </w:pict>
          </mc:Fallback>
        </mc:AlternateContent>
      </w:r>
    </w:p>
    <w:p w14:paraId="7F600603" w14:textId="0593589F" w:rsidR="0043754F" w:rsidRDefault="0043754F" w:rsidP="00B37396">
      <w:pPr>
        <w:rPr>
          <w:lang w:val="en-US"/>
        </w:rPr>
      </w:pPr>
      <w:r w:rsidRPr="00DD047B">
        <w:rPr>
          <w:b/>
          <w:lang w:val="en-US"/>
        </w:rPr>
        <w:t>Proposal 3:</w:t>
      </w:r>
      <w:r w:rsidR="000618BF">
        <w:rPr>
          <w:lang w:val="en-US"/>
        </w:rPr>
        <w:t xml:space="preserve"> </w:t>
      </w:r>
      <w:r w:rsidR="006F40BE">
        <w:rPr>
          <w:lang w:val="en-US"/>
        </w:rPr>
        <w:t>I</w:t>
      </w:r>
      <w:r w:rsidR="00FA4CDF">
        <w:rPr>
          <w:lang w:val="en-US"/>
        </w:rPr>
        <w:t xml:space="preserve">n case of inter-band CA, </w:t>
      </w:r>
      <w:r w:rsidR="000618BF">
        <w:rPr>
          <w:lang w:val="en-US"/>
        </w:rPr>
        <w:t xml:space="preserve">UE </w:t>
      </w:r>
      <w:r w:rsidR="006F7A5D">
        <w:rPr>
          <w:lang w:val="en-US"/>
        </w:rPr>
        <w:t xml:space="preserve">transmit </w:t>
      </w:r>
      <w:r w:rsidR="000618BF">
        <w:rPr>
          <w:lang w:val="en-US"/>
        </w:rPr>
        <w:t xml:space="preserve">performance requirements to apply only to the physical channels on each CC which are not affected by the SRS switching on </w:t>
      </w:r>
      <w:r w:rsidR="008929A6">
        <w:rPr>
          <w:lang w:val="en-US"/>
        </w:rPr>
        <w:t>any of the other</w:t>
      </w:r>
      <w:r w:rsidR="000618BF">
        <w:rPr>
          <w:lang w:val="en-US"/>
        </w:rPr>
        <w:t xml:space="preserve"> CCs. </w:t>
      </w:r>
    </w:p>
    <w:p w14:paraId="71E7935A" w14:textId="77777777" w:rsidR="00B252DB" w:rsidRPr="00B37396" w:rsidRDefault="00B252DB" w:rsidP="00B37396">
      <w:pPr>
        <w:rPr>
          <w:lang w:val="en-US"/>
        </w:rPr>
      </w:pPr>
    </w:p>
    <w:p w14:paraId="0E0F4862" w14:textId="6B76CFCD" w:rsidR="002619C7" w:rsidRDefault="00BF6880" w:rsidP="00F22934">
      <w:pPr>
        <w:pStyle w:val="Heading1"/>
      </w:pPr>
      <w:r>
        <w:lastRenderedPageBreak/>
        <w:t>C</w:t>
      </w:r>
      <w:r w:rsidR="00C762BF">
        <w:t>onclusion</w:t>
      </w:r>
    </w:p>
    <w:p w14:paraId="4FA5C6FC" w14:textId="0B7B117D" w:rsidR="00EE2CF3" w:rsidRPr="00EE2CF3" w:rsidRDefault="009114E8" w:rsidP="00EE2CF3">
      <w:r>
        <w:t>In this paper, different cases for SRS antenna switching have been considered. Proposals 1</w:t>
      </w:r>
      <w:r w:rsidR="00676D9F">
        <w:t>,2</w:t>
      </w:r>
      <w:r>
        <w:t xml:space="preserve"> and </w:t>
      </w:r>
      <w:r w:rsidR="00676D9F">
        <w:t>3</w:t>
      </w:r>
      <w:r>
        <w:t xml:space="preserve"> have been made to allow for 15 usec of transient period, which was the previous agreement in RAN4.</w:t>
      </w:r>
    </w:p>
    <w:p w14:paraId="0ECB10B7" w14:textId="25CF83AC" w:rsidR="00D62CD8" w:rsidRDefault="00D62CD8" w:rsidP="00D62CD8">
      <w:pPr>
        <w:pStyle w:val="Heading1"/>
        <w:jc w:val="both"/>
      </w:pPr>
      <w:r>
        <w:t>References</w:t>
      </w:r>
    </w:p>
    <w:p w14:paraId="24FB13F6" w14:textId="3CC68ABE" w:rsidR="00EE2CF3" w:rsidRDefault="006730EE" w:rsidP="00EE2CF3">
      <w:pPr>
        <w:rPr>
          <w:rFonts w:ascii="Arial" w:hAnsi="Arial" w:cs="Arial"/>
          <w:bCs/>
        </w:rPr>
      </w:pPr>
      <w:r>
        <w:t xml:space="preserve">[1] </w:t>
      </w:r>
      <w:r w:rsidRPr="006730EE">
        <w:t>R4-1710048</w:t>
      </w:r>
      <w:r>
        <w:t xml:space="preserve">, </w:t>
      </w:r>
      <w:r w:rsidRPr="00325284">
        <w:rPr>
          <w:rFonts w:ascii="Arial" w:hAnsi="Arial" w:cs="Arial"/>
          <w:bCs/>
        </w:rPr>
        <w:t>LS Reply to LS related to SRS hopping</w:t>
      </w:r>
      <w:r>
        <w:rPr>
          <w:rFonts w:ascii="Arial" w:hAnsi="Arial" w:cs="Arial"/>
          <w:bCs/>
        </w:rPr>
        <w:t xml:space="preserve">, </w:t>
      </w:r>
      <w:r w:rsidRPr="006730EE">
        <w:rPr>
          <w:rFonts w:ascii="Arial" w:hAnsi="Arial" w:cs="Arial"/>
          <w:bCs/>
        </w:rPr>
        <w:t>3GPP TSG-RAN WG4 Meeting NR ad-hoc #3</w:t>
      </w:r>
      <w:r>
        <w:rPr>
          <w:rFonts w:ascii="Arial" w:hAnsi="Arial" w:cs="Arial"/>
          <w:bCs/>
        </w:rPr>
        <w:t xml:space="preserve">, </w:t>
      </w:r>
      <w:r w:rsidRPr="006730EE">
        <w:rPr>
          <w:rFonts w:ascii="Arial" w:hAnsi="Arial" w:cs="Arial"/>
          <w:bCs/>
        </w:rPr>
        <w:t xml:space="preserve">Nagoya, Japan, 18 - 21 </w:t>
      </w:r>
      <w:proofErr w:type="gramStart"/>
      <w:r w:rsidRPr="006730EE">
        <w:rPr>
          <w:rFonts w:ascii="Arial" w:hAnsi="Arial" w:cs="Arial"/>
          <w:bCs/>
        </w:rPr>
        <w:t>Sep,</w:t>
      </w:r>
      <w:proofErr w:type="gramEnd"/>
      <w:r w:rsidRPr="006730EE">
        <w:rPr>
          <w:rFonts w:ascii="Arial" w:hAnsi="Arial" w:cs="Arial"/>
          <w:bCs/>
        </w:rPr>
        <w:t xml:space="preserve"> 2017</w:t>
      </w:r>
    </w:p>
    <w:p w14:paraId="27C56521" w14:textId="3BC5CE2B" w:rsidR="009114E8" w:rsidRDefault="009114E8" w:rsidP="00EE2CF3">
      <w:r>
        <w:t xml:space="preserve">[2] </w:t>
      </w:r>
      <w:r w:rsidRPr="009114E8">
        <w:t>3GPP TS 38.101-1 V15.2.0 (2018-06)</w:t>
      </w:r>
    </w:p>
    <w:p w14:paraId="2E831ACB" w14:textId="6F061962" w:rsidR="009114E8" w:rsidRPr="00EE2CF3" w:rsidRDefault="009114E8" w:rsidP="00EE2CF3">
      <w:r>
        <w:t xml:space="preserve">[3] </w:t>
      </w:r>
      <w:r w:rsidRPr="009114E8">
        <w:t>3GPP TS 38.214 V15.2.0 (2018-06)</w:t>
      </w:r>
    </w:p>
    <w:sectPr w:rsidR="009114E8" w:rsidRPr="00EE2CF3"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712BF" w14:textId="77777777" w:rsidR="007854A1" w:rsidRDefault="007854A1">
      <w:r>
        <w:separator/>
      </w:r>
    </w:p>
  </w:endnote>
  <w:endnote w:type="continuationSeparator" w:id="0">
    <w:p w14:paraId="64337021" w14:textId="77777777" w:rsidR="007854A1" w:rsidRDefault="0078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A206C" w14:textId="77777777" w:rsidR="007854A1" w:rsidRDefault="007854A1">
      <w:r>
        <w:separator/>
      </w:r>
    </w:p>
  </w:footnote>
  <w:footnote w:type="continuationSeparator" w:id="0">
    <w:p w14:paraId="096B458C" w14:textId="77777777" w:rsidR="007854A1" w:rsidRDefault="0078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95A24"/>
    <w:multiLevelType w:val="hybridMultilevel"/>
    <w:tmpl w:val="B5F8602C"/>
    <w:lvl w:ilvl="0" w:tplc="F20EC600">
      <w:start w:val="1"/>
      <w:numFmt w:val="bullet"/>
      <w:lvlText w:val="•"/>
      <w:lvlJc w:val="left"/>
      <w:pPr>
        <w:tabs>
          <w:tab w:val="num" w:pos="720"/>
        </w:tabs>
        <w:ind w:left="720" w:hanging="360"/>
      </w:pPr>
      <w:rPr>
        <w:rFonts w:ascii="Arial" w:hAnsi="Arial" w:hint="default"/>
      </w:rPr>
    </w:lvl>
    <w:lvl w:ilvl="1" w:tplc="69FC4148">
      <w:start w:val="142"/>
      <w:numFmt w:val="bullet"/>
      <w:lvlText w:val="•"/>
      <w:lvlJc w:val="left"/>
      <w:pPr>
        <w:tabs>
          <w:tab w:val="num" w:pos="1440"/>
        </w:tabs>
        <w:ind w:left="1440" w:hanging="360"/>
      </w:pPr>
      <w:rPr>
        <w:rFonts w:ascii="Arial" w:hAnsi="Arial" w:hint="default"/>
      </w:rPr>
    </w:lvl>
    <w:lvl w:ilvl="2" w:tplc="EE3C0FDA" w:tentative="1">
      <w:start w:val="1"/>
      <w:numFmt w:val="bullet"/>
      <w:lvlText w:val="•"/>
      <w:lvlJc w:val="left"/>
      <w:pPr>
        <w:tabs>
          <w:tab w:val="num" w:pos="2160"/>
        </w:tabs>
        <w:ind w:left="2160" w:hanging="360"/>
      </w:pPr>
      <w:rPr>
        <w:rFonts w:ascii="Arial" w:hAnsi="Arial" w:hint="default"/>
      </w:rPr>
    </w:lvl>
    <w:lvl w:ilvl="3" w:tplc="714874A0" w:tentative="1">
      <w:start w:val="1"/>
      <w:numFmt w:val="bullet"/>
      <w:lvlText w:val="•"/>
      <w:lvlJc w:val="left"/>
      <w:pPr>
        <w:tabs>
          <w:tab w:val="num" w:pos="2880"/>
        </w:tabs>
        <w:ind w:left="2880" w:hanging="360"/>
      </w:pPr>
      <w:rPr>
        <w:rFonts w:ascii="Arial" w:hAnsi="Arial" w:hint="default"/>
      </w:rPr>
    </w:lvl>
    <w:lvl w:ilvl="4" w:tplc="BB66A972" w:tentative="1">
      <w:start w:val="1"/>
      <w:numFmt w:val="bullet"/>
      <w:lvlText w:val="•"/>
      <w:lvlJc w:val="left"/>
      <w:pPr>
        <w:tabs>
          <w:tab w:val="num" w:pos="3600"/>
        </w:tabs>
        <w:ind w:left="3600" w:hanging="360"/>
      </w:pPr>
      <w:rPr>
        <w:rFonts w:ascii="Arial" w:hAnsi="Arial" w:hint="default"/>
      </w:rPr>
    </w:lvl>
    <w:lvl w:ilvl="5" w:tplc="FFE8F390" w:tentative="1">
      <w:start w:val="1"/>
      <w:numFmt w:val="bullet"/>
      <w:lvlText w:val="•"/>
      <w:lvlJc w:val="left"/>
      <w:pPr>
        <w:tabs>
          <w:tab w:val="num" w:pos="4320"/>
        </w:tabs>
        <w:ind w:left="4320" w:hanging="360"/>
      </w:pPr>
      <w:rPr>
        <w:rFonts w:ascii="Arial" w:hAnsi="Arial" w:hint="default"/>
      </w:rPr>
    </w:lvl>
    <w:lvl w:ilvl="6" w:tplc="668C819E" w:tentative="1">
      <w:start w:val="1"/>
      <w:numFmt w:val="bullet"/>
      <w:lvlText w:val="•"/>
      <w:lvlJc w:val="left"/>
      <w:pPr>
        <w:tabs>
          <w:tab w:val="num" w:pos="5040"/>
        </w:tabs>
        <w:ind w:left="5040" w:hanging="360"/>
      </w:pPr>
      <w:rPr>
        <w:rFonts w:ascii="Arial" w:hAnsi="Arial" w:hint="default"/>
      </w:rPr>
    </w:lvl>
    <w:lvl w:ilvl="7" w:tplc="2F2C2886" w:tentative="1">
      <w:start w:val="1"/>
      <w:numFmt w:val="bullet"/>
      <w:lvlText w:val="•"/>
      <w:lvlJc w:val="left"/>
      <w:pPr>
        <w:tabs>
          <w:tab w:val="num" w:pos="5760"/>
        </w:tabs>
        <w:ind w:left="5760" w:hanging="360"/>
      </w:pPr>
      <w:rPr>
        <w:rFonts w:ascii="Arial" w:hAnsi="Arial" w:hint="default"/>
      </w:rPr>
    </w:lvl>
    <w:lvl w:ilvl="8" w:tplc="E0ACD3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26360"/>
    <w:multiLevelType w:val="hybridMultilevel"/>
    <w:tmpl w:val="427CE390"/>
    <w:lvl w:ilvl="0" w:tplc="989E6FFE">
      <w:start w:val="1"/>
      <w:numFmt w:val="bullet"/>
      <w:lvlText w:val="•"/>
      <w:lvlJc w:val="left"/>
      <w:pPr>
        <w:tabs>
          <w:tab w:val="num" w:pos="720"/>
        </w:tabs>
        <w:ind w:left="720" w:hanging="360"/>
      </w:pPr>
      <w:rPr>
        <w:rFonts w:ascii="Arial" w:hAnsi="Arial" w:hint="default"/>
      </w:rPr>
    </w:lvl>
    <w:lvl w:ilvl="1" w:tplc="C1D4900E">
      <w:start w:val="142"/>
      <w:numFmt w:val="bullet"/>
      <w:lvlText w:val="•"/>
      <w:lvlJc w:val="left"/>
      <w:pPr>
        <w:tabs>
          <w:tab w:val="num" w:pos="1440"/>
        </w:tabs>
        <w:ind w:left="1440" w:hanging="360"/>
      </w:pPr>
      <w:rPr>
        <w:rFonts w:ascii="Arial" w:hAnsi="Arial" w:hint="default"/>
      </w:rPr>
    </w:lvl>
    <w:lvl w:ilvl="2" w:tplc="DF52CB00">
      <w:start w:val="1"/>
      <w:numFmt w:val="bullet"/>
      <w:lvlText w:val="•"/>
      <w:lvlJc w:val="left"/>
      <w:pPr>
        <w:tabs>
          <w:tab w:val="num" w:pos="2160"/>
        </w:tabs>
        <w:ind w:left="2160" w:hanging="360"/>
      </w:pPr>
      <w:rPr>
        <w:rFonts w:ascii="Arial" w:hAnsi="Arial" w:hint="default"/>
      </w:rPr>
    </w:lvl>
    <w:lvl w:ilvl="3" w:tplc="4EDE0328" w:tentative="1">
      <w:start w:val="1"/>
      <w:numFmt w:val="bullet"/>
      <w:lvlText w:val="•"/>
      <w:lvlJc w:val="left"/>
      <w:pPr>
        <w:tabs>
          <w:tab w:val="num" w:pos="2880"/>
        </w:tabs>
        <w:ind w:left="2880" w:hanging="360"/>
      </w:pPr>
      <w:rPr>
        <w:rFonts w:ascii="Arial" w:hAnsi="Arial" w:hint="default"/>
      </w:rPr>
    </w:lvl>
    <w:lvl w:ilvl="4" w:tplc="62167150" w:tentative="1">
      <w:start w:val="1"/>
      <w:numFmt w:val="bullet"/>
      <w:lvlText w:val="•"/>
      <w:lvlJc w:val="left"/>
      <w:pPr>
        <w:tabs>
          <w:tab w:val="num" w:pos="3600"/>
        </w:tabs>
        <w:ind w:left="3600" w:hanging="360"/>
      </w:pPr>
      <w:rPr>
        <w:rFonts w:ascii="Arial" w:hAnsi="Arial" w:hint="default"/>
      </w:rPr>
    </w:lvl>
    <w:lvl w:ilvl="5" w:tplc="AE44E1C6" w:tentative="1">
      <w:start w:val="1"/>
      <w:numFmt w:val="bullet"/>
      <w:lvlText w:val="•"/>
      <w:lvlJc w:val="left"/>
      <w:pPr>
        <w:tabs>
          <w:tab w:val="num" w:pos="4320"/>
        </w:tabs>
        <w:ind w:left="4320" w:hanging="360"/>
      </w:pPr>
      <w:rPr>
        <w:rFonts w:ascii="Arial" w:hAnsi="Arial" w:hint="default"/>
      </w:rPr>
    </w:lvl>
    <w:lvl w:ilvl="6" w:tplc="E5C2CAE6" w:tentative="1">
      <w:start w:val="1"/>
      <w:numFmt w:val="bullet"/>
      <w:lvlText w:val="•"/>
      <w:lvlJc w:val="left"/>
      <w:pPr>
        <w:tabs>
          <w:tab w:val="num" w:pos="5040"/>
        </w:tabs>
        <w:ind w:left="5040" w:hanging="360"/>
      </w:pPr>
      <w:rPr>
        <w:rFonts w:ascii="Arial" w:hAnsi="Arial" w:hint="default"/>
      </w:rPr>
    </w:lvl>
    <w:lvl w:ilvl="7" w:tplc="8A42734E" w:tentative="1">
      <w:start w:val="1"/>
      <w:numFmt w:val="bullet"/>
      <w:lvlText w:val="•"/>
      <w:lvlJc w:val="left"/>
      <w:pPr>
        <w:tabs>
          <w:tab w:val="num" w:pos="5760"/>
        </w:tabs>
        <w:ind w:left="5760" w:hanging="360"/>
      </w:pPr>
      <w:rPr>
        <w:rFonts w:ascii="Arial" w:hAnsi="Arial" w:hint="default"/>
      </w:rPr>
    </w:lvl>
    <w:lvl w:ilvl="8" w:tplc="D99E26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8F93FB2"/>
    <w:multiLevelType w:val="hybridMultilevel"/>
    <w:tmpl w:val="B84A75E8"/>
    <w:lvl w:ilvl="0" w:tplc="DEEEF11C">
      <w:start w:val="1"/>
      <w:numFmt w:val="bullet"/>
      <w:lvlText w:val="•"/>
      <w:lvlJc w:val="left"/>
      <w:pPr>
        <w:tabs>
          <w:tab w:val="num" w:pos="720"/>
        </w:tabs>
        <w:ind w:left="720" w:hanging="360"/>
      </w:pPr>
      <w:rPr>
        <w:rFonts w:ascii="Arial" w:hAnsi="Arial" w:hint="default"/>
      </w:rPr>
    </w:lvl>
    <w:lvl w:ilvl="1" w:tplc="6EC2A88C">
      <w:start w:val="1"/>
      <w:numFmt w:val="bullet"/>
      <w:lvlText w:val="•"/>
      <w:lvlJc w:val="left"/>
      <w:pPr>
        <w:tabs>
          <w:tab w:val="num" w:pos="1440"/>
        </w:tabs>
        <w:ind w:left="1440" w:hanging="360"/>
      </w:pPr>
      <w:rPr>
        <w:rFonts w:ascii="Arial" w:hAnsi="Arial" w:hint="default"/>
      </w:rPr>
    </w:lvl>
    <w:lvl w:ilvl="2" w:tplc="AC305FD6">
      <w:start w:val="142"/>
      <w:numFmt w:val="bullet"/>
      <w:lvlText w:val="•"/>
      <w:lvlJc w:val="left"/>
      <w:pPr>
        <w:tabs>
          <w:tab w:val="num" w:pos="2160"/>
        </w:tabs>
        <w:ind w:left="2160" w:hanging="360"/>
      </w:pPr>
      <w:rPr>
        <w:rFonts w:ascii="Arial" w:hAnsi="Arial" w:hint="default"/>
      </w:rPr>
    </w:lvl>
    <w:lvl w:ilvl="3" w:tplc="035E8A0C" w:tentative="1">
      <w:start w:val="1"/>
      <w:numFmt w:val="bullet"/>
      <w:lvlText w:val="•"/>
      <w:lvlJc w:val="left"/>
      <w:pPr>
        <w:tabs>
          <w:tab w:val="num" w:pos="2880"/>
        </w:tabs>
        <w:ind w:left="2880" w:hanging="360"/>
      </w:pPr>
      <w:rPr>
        <w:rFonts w:ascii="Arial" w:hAnsi="Arial" w:hint="default"/>
      </w:rPr>
    </w:lvl>
    <w:lvl w:ilvl="4" w:tplc="9A844962" w:tentative="1">
      <w:start w:val="1"/>
      <w:numFmt w:val="bullet"/>
      <w:lvlText w:val="•"/>
      <w:lvlJc w:val="left"/>
      <w:pPr>
        <w:tabs>
          <w:tab w:val="num" w:pos="3600"/>
        </w:tabs>
        <w:ind w:left="3600" w:hanging="360"/>
      </w:pPr>
      <w:rPr>
        <w:rFonts w:ascii="Arial" w:hAnsi="Arial" w:hint="default"/>
      </w:rPr>
    </w:lvl>
    <w:lvl w:ilvl="5" w:tplc="81F29EB4" w:tentative="1">
      <w:start w:val="1"/>
      <w:numFmt w:val="bullet"/>
      <w:lvlText w:val="•"/>
      <w:lvlJc w:val="left"/>
      <w:pPr>
        <w:tabs>
          <w:tab w:val="num" w:pos="4320"/>
        </w:tabs>
        <w:ind w:left="4320" w:hanging="360"/>
      </w:pPr>
      <w:rPr>
        <w:rFonts w:ascii="Arial" w:hAnsi="Arial" w:hint="default"/>
      </w:rPr>
    </w:lvl>
    <w:lvl w:ilvl="6" w:tplc="EECA6440" w:tentative="1">
      <w:start w:val="1"/>
      <w:numFmt w:val="bullet"/>
      <w:lvlText w:val="•"/>
      <w:lvlJc w:val="left"/>
      <w:pPr>
        <w:tabs>
          <w:tab w:val="num" w:pos="5040"/>
        </w:tabs>
        <w:ind w:left="5040" w:hanging="360"/>
      </w:pPr>
      <w:rPr>
        <w:rFonts w:ascii="Arial" w:hAnsi="Arial" w:hint="default"/>
      </w:rPr>
    </w:lvl>
    <w:lvl w:ilvl="7" w:tplc="539289DA" w:tentative="1">
      <w:start w:val="1"/>
      <w:numFmt w:val="bullet"/>
      <w:lvlText w:val="•"/>
      <w:lvlJc w:val="left"/>
      <w:pPr>
        <w:tabs>
          <w:tab w:val="num" w:pos="5760"/>
        </w:tabs>
        <w:ind w:left="5760" w:hanging="360"/>
      </w:pPr>
      <w:rPr>
        <w:rFonts w:ascii="Arial" w:hAnsi="Arial" w:hint="default"/>
      </w:rPr>
    </w:lvl>
    <w:lvl w:ilvl="8" w:tplc="DCE6DD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2"/>
  </w:num>
  <w:num w:numId="4">
    <w:abstractNumId w:val="24"/>
  </w:num>
  <w:num w:numId="5">
    <w:abstractNumId w:val="16"/>
  </w:num>
  <w:num w:numId="6">
    <w:abstractNumId w:val="7"/>
  </w:num>
  <w:num w:numId="7">
    <w:abstractNumId w:val="2"/>
  </w:num>
  <w:num w:numId="8">
    <w:abstractNumId w:val="20"/>
  </w:num>
  <w:num w:numId="9">
    <w:abstractNumId w:val="8"/>
  </w:num>
  <w:num w:numId="10">
    <w:abstractNumId w:val="14"/>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7"/>
  </w:num>
  <w:num w:numId="21">
    <w:abstractNumId w:val="21"/>
  </w:num>
  <w:num w:numId="22">
    <w:abstractNumId w:val="15"/>
  </w:num>
  <w:num w:numId="23">
    <w:abstractNumId w:val="1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3"/>
  </w:num>
  <w:num w:numId="26">
    <w:abstractNumId w:val="1"/>
  </w:num>
  <w:num w:numId="27">
    <w:abstractNumId w:val="9"/>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8D0"/>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8BF"/>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018"/>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843"/>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5EF1"/>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A31"/>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878"/>
    <w:rsid w:val="00267C7C"/>
    <w:rsid w:val="00267D26"/>
    <w:rsid w:val="00267F83"/>
    <w:rsid w:val="00270F79"/>
    <w:rsid w:val="0027136E"/>
    <w:rsid w:val="0027137C"/>
    <w:rsid w:val="00272474"/>
    <w:rsid w:val="00272CAE"/>
    <w:rsid w:val="002739D3"/>
    <w:rsid w:val="00274205"/>
    <w:rsid w:val="0027453E"/>
    <w:rsid w:val="00274925"/>
    <w:rsid w:val="0027504A"/>
    <w:rsid w:val="0027561C"/>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4D03"/>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291E"/>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193"/>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386B"/>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6E0"/>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910"/>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54F"/>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2FA"/>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0C8"/>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C6A"/>
    <w:rsid w:val="005F6100"/>
    <w:rsid w:val="005F72DC"/>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3C"/>
    <w:rsid w:val="0062416F"/>
    <w:rsid w:val="00624E83"/>
    <w:rsid w:val="006252F1"/>
    <w:rsid w:val="006258FC"/>
    <w:rsid w:val="0062606D"/>
    <w:rsid w:val="0062612C"/>
    <w:rsid w:val="006261CB"/>
    <w:rsid w:val="0062624E"/>
    <w:rsid w:val="00627780"/>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6F79"/>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42F"/>
    <w:rsid w:val="00664E8B"/>
    <w:rsid w:val="00665702"/>
    <w:rsid w:val="006677A5"/>
    <w:rsid w:val="00667EAC"/>
    <w:rsid w:val="006713F8"/>
    <w:rsid w:val="0067184D"/>
    <w:rsid w:val="0067240C"/>
    <w:rsid w:val="006724D8"/>
    <w:rsid w:val="0067269C"/>
    <w:rsid w:val="006730EE"/>
    <w:rsid w:val="006731A0"/>
    <w:rsid w:val="00673CFF"/>
    <w:rsid w:val="00674355"/>
    <w:rsid w:val="006744D9"/>
    <w:rsid w:val="006758D1"/>
    <w:rsid w:val="00675A67"/>
    <w:rsid w:val="00675FE2"/>
    <w:rsid w:val="0067642D"/>
    <w:rsid w:val="00676C9C"/>
    <w:rsid w:val="00676D9F"/>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7B1"/>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736"/>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0BE"/>
    <w:rsid w:val="006F4AA6"/>
    <w:rsid w:val="006F4DBC"/>
    <w:rsid w:val="006F4F21"/>
    <w:rsid w:val="006F60F7"/>
    <w:rsid w:val="006F634D"/>
    <w:rsid w:val="006F6978"/>
    <w:rsid w:val="006F6AC9"/>
    <w:rsid w:val="006F6B45"/>
    <w:rsid w:val="006F6B49"/>
    <w:rsid w:val="006F6E6E"/>
    <w:rsid w:val="006F7A5D"/>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54A1"/>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9A6"/>
    <w:rsid w:val="00892DDB"/>
    <w:rsid w:val="00893664"/>
    <w:rsid w:val="0089367F"/>
    <w:rsid w:val="0089466D"/>
    <w:rsid w:val="008951A8"/>
    <w:rsid w:val="00895FAE"/>
    <w:rsid w:val="008968D7"/>
    <w:rsid w:val="00896DB2"/>
    <w:rsid w:val="00896EB8"/>
    <w:rsid w:val="008975FA"/>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09A"/>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14E8"/>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2C21"/>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05"/>
    <w:rsid w:val="00AD50AA"/>
    <w:rsid w:val="00AD555B"/>
    <w:rsid w:val="00AD602B"/>
    <w:rsid w:val="00AD693F"/>
    <w:rsid w:val="00AE0D65"/>
    <w:rsid w:val="00AE0EDD"/>
    <w:rsid w:val="00AE14D5"/>
    <w:rsid w:val="00AE16A0"/>
    <w:rsid w:val="00AE18D3"/>
    <w:rsid w:val="00AE193F"/>
    <w:rsid w:val="00AE1BFE"/>
    <w:rsid w:val="00AE1E3C"/>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2DB"/>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396"/>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1835"/>
    <w:rsid w:val="00B72124"/>
    <w:rsid w:val="00B72140"/>
    <w:rsid w:val="00B7441F"/>
    <w:rsid w:val="00B745E0"/>
    <w:rsid w:val="00B755FD"/>
    <w:rsid w:val="00B7658D"/>
    <w:rsid w:val="00B76F26"/>
    <w:rsid w:val="00B778AA"/>
    <w:rsid w:val="00B806A3"/>
    <w:rsid w:val="00B81794"/>
    <w:rsid w:val="00B81950"/>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794"/>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977C9"/>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1EF8"/>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3C72"/>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599"/>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3B35"/>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47B"/>
    <w:rsid w:val="00DD0B6A"/>
    <w:rsid w:val="00DD17BD"/>
    <w:rsid w:val="00DD335A"/>
    <w:rsid w:val="00DD39CF"/>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0BFE"/>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235"/>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15B"/>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CB9"/>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39F8"/>
    <w:rsid w:val="00F93FC8"/>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CDF"/>
    <w:rsid w:val="00FA4D47"/>
    <w:rsid w:val="00FA525D"/>
    <w:rsid w:val="00FA60B6"/>
    <w:rsid w:val="00FA62E0"/>
    <w:rsid w:val="00FA636E"/>
    <w:rsid w:val="00FA7281"/>
    <w:rsid w:val="00FB029F"/>
    <w:rsid w:val="00FB06B4"/>
    <w:rsid w:val="00FB0877"/>
    <w:rsid w:val="00FB1A91"/>
    <w:rsid w:val="00FB241F"/>
    <w:rsid w:val="00FB2D5E"/>
    <w:rsid w:val="00FB3A04"/>
    <w:rsid w:val="00FB3A69"/>
    <w:rsid w:val="00FB3E5D"/>
    <w:rsid w:val="00FB4096"/>
    <w:rsid w:val="00FB6560"/>
    <w:rsid w:val="00FB6CE4"/>
    <w:rsid w:val="00FB6E93"/>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200346">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06925999">
      <w:bodyDiv w:val="1"/>
      <w:marLeft w:val="0"/>
      <w:marRight w:val="0"/>
      <w:marTop w:val="0"/>
      <w:marBottom w:val="0"/>
      <w:divBdr>
        <w:top w:val="none" w:sz="0" w:space="0" w:color="auto"/>
        <w:left w:val="none" w:sz="0" w:space="0" w:color="auto"/>
        <w:bottom w:val="none" w:sz="0" w:space="0" w:color="auto"/>
        <w:right w:val="none" w:sz="0" w:space="0" w:color="auto"/>
      </w:divBdr>
      <w:divsChild>
        <w:div w:id="1155418957">
          <w:marLeft w:val="1080"/>
          <w:marRight w:val="0"/>
          <w:marTop w:val="100"/>
          <w:marBottom w:val="0"/>
          <w:divBdr>
            <w:top w:val="none" w:sz="0" w:space="0" w:color="auto"/>
            <w:left w:val="none" w:sz="0" w:space="0" w:color="auto"/>
            <w:bottom w:val="none" w:sz="0" w:space="0" w:color="auto"/>
            <w:right w:val="none" w:sz="0" w:space="0" w:color="auto"/>
          </w:divBdr>
        </w:div>
        <w:div w:id="998800733">
          <w:marLeft w:val="1800"/>
          <w:marRight w:val="0"/>
          <w:marTop w:val="100"/>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552795">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81356832">
      <w:bodyDiv w:val="1"/>
      <w:marLeft w:val="0"/>
      <w:marRight w:val="0"/>
      <w:marTop w:val="0"/>
      <w:marBottom w:val="0"/>
      <w:divBdr>
        <w:top w:val="none" w:sz="0" w:space="0" w:color="auto"/>
        <w:left w:val="none" w:sz="0" w:space="0" w:color="auto"/>
        <w:bottom w:val="none" w:sz="0" w:space="0" w:color="auto"/>
        <w:right w:val="none" w:sz="0" w:space="0" w:color="auto"/>
      </w:divBdr>
      <w:divsChild>
        <w:div w:id="1188907682">
          <w:marLeft w:val="274"/>
          <w:marRight w:val="0"/>
          <w:marTop w:val="0"/>
          <w:marBottom w:val="0"/>
          <w:divBdr>
            <w:top w:val="none" w:sz="0" w:space="0" w:color="auto"/>
            <w:left w:val="none" w:sz="0" w:space="0" w:color="auto"/>
            <w:bottom w:val="none" w:sz="0" w:space="0" w:color="auto"/>
            <w:right w:val="none" w:sz="0" w:space="0" w:color="auto"/>
          </w:divBdr>
        </w:div>
        <w:div w:id="1568493276">
          <w:marLeft w:val="994"/>
          <w:marRight w:val="0"/>
          <w:marTop w:val="0"/>
          <w:marBottom w:val="0"/>
          <w:divBdr>
            <w:top w:val="none" w:sz="0" w:space="0" w:color="auto"/>
            <w:left w:val="none" w:sz="0" w:space="0" w:color="auto"/>
            <w:bottom w:val="none" w:sz="0" w:space="0" w:color="auto"/>
            <w:right w:val="none" w:sz="0" w:space="0" w:color="auto"/>
          </w:divBdr>
        </w:div>
        <w:div w:id="1604414984">
          <w:marLeft w:val="274"/>
          <w:marRight w:val="0"/>
          <w:marTop w:val="0"/>
          <w:marBottom w:val="0"/>
          <w:divBdr>
            <w:top w:val="none" w:sz="0" w:space="0" w:color="auto"/>
            <w:left w:val="none" w:sz="0" w:space="0" w:color="auto"/>
            <w:bottom w:val="none" w:sz="0" w:space="0" w:color="auto"/>
            <w:right w:val="none" w:sz="0" w:space="0" w:color="auto"/>
          </w:divBdr>
        </w:div>
        <w:div w:id="907761533">
          <w:marLeft w:val="994"/>
          <w:marRight w:val="0"/>
          <w:marTop w:val="0"/>
          <w:marBottom w:val="0"/>
          <w:divBdr>
            <w:top w:val="none" w:sz="0" w:space="0" w:color="auto"/>
            <w:left w:val="none" w:sz="0" w:space="0" w:color="auto"/>
            <w:bottom w:val="none" w:sz="0" w:space="0" w:color="auto"/>
            <w:right w:val="none" w:sz="0" w:space="0" w:color="auto"/>
          </w:divBdr>
        </w:div>
        <w:div w:id="1888182809">
          <w:marLeft w:val="274"/>
          <w:marRight w:val="0"/>
          <w:marTop w:val="0"/>
          <w:marBottom w:val="0"/>
          <w:divBdr>
            <w:top w:val="none" w:sz="0" w:space="0" w:color="auto"/>
            <w:left w:val="none" w:sz="0" w:space="0" w:color="auto"/>
            <w:bottom w:val="none" w:sz="0" w:space="0" w:color="auto"/>
            <w:right w:val="none" w:sz="0" w:space="0" w:color="auto"/>
          </w:divBdr>
        </w:div>
      </w:divsChild>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58558119">
      <w:bodyDiv w:val="1"/>
      <w:marLeft w:val="0"/>
      <w:marRight w:val="0"/>
      <w:marTop w:val="0"/>
      <w:marBottom w:val="0"/>
      <w:divBdr>
        <w:top w:val="none" w:sz="0" w:space="0" w:color="auto"/>
        <w:left w:val="none" w:sz="0" w:space="0" w:color="auto"/>
        <w:bottom w:val="none" w:sz="0" w:space="0" w:color="auto"/>
        <w:right w:val="none" w:sz="0" w:space="0" w:color="auto"/>
      </w:divBdr>
      <w:divsChild>
        <w:div w:id="73747050">
          <w:marLeft w:val="360"/>
          <w:marRight w:val="0"/>
          <w:marTop w:val="200"/>
          <w:marBottom w:val="0"/>
          <w:divBdr>
            <w:top w:val="none" w:sz="0" w:space="0" w:color="auto"/>
            <w:left w:val="none" w:sz="0" w:space="0" w:color="auto"/>
            <w:bottom w:val="none" w:sz="0" w:space="0" w:color="auto"/>
            <w:right w:val="none" w:sz="0" w:space="0" w:color="auto"/>
          </w:divBdr>
        </w:div>
        <w:div w:id="1312514949">
          <w:marLeft w:val="1080"/>
          <w:marRight w:val="0"/>
          <w:marTop w:val="100"/>
          <w:marBottom w:val="0"/>
          <w:divBdr>
            <w:top w:val="none" w:sz="0" w:space="0" w:color="auto"/>
            <w:left w:val="none" w:sz="0" w:space="0" w:color="auto"/>
            <w:bottom w:val="none" w:sz="0" w:space="0" w:color="auto"/>
            <w:right w:val="none" w:sz="0" w:space="0" w:color="auto"/>
          </w:divBdr>
        </w:div>
        <w:div w:id="614367215">
          <w:marLeft w:val="360"/>
          <w:marRight w:val="0"/>
          <w:marTop w:val="200"/>
          <w:marBottom w:val="0"/>
          <w:divBdr>
            <w:top w:val="none" w:sz="0" w:space="0" w:color="auto"/>
            <w:left w:val="none" w:sz="0" w:space="0" w:color="auto"/>
            <w:bottom w:val="none" w:sz="0" w:space="0" w:color="auto"/>
            <w:right w:val="none" w:sz="0" w:space="0" w:color="auto"/>
          </w:divBdr>
        </w:div>
        <w:div w:id="1488128491">
          <w:marLeft w:val="1080"/>
          <w:marRight w:val="0"/>
          <w:marTop w:val="100"/>
          <w:marBottom w:val="0"/>
          <w:divBdr>
            <w:top w:val="none" w:sz="0" w:space="0" w:color="auto"/>
            <w:left w:val="none" w:sz="0" w:space="0" w:color="auto"/>
            <w:bottom w:val="none" w:sz="0" w:space="0" w:color="auto"/>
            <w:right w:val="none" w:sz="0" w:space="0" w:color="auto"/>
          </w:divBdr>
        </w:div>
      </w:divsChild>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5C0AA-0A90-4F10-B3F1-7BD6CE51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102</TotalTime>
  <Pages>4</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46</cp:revision>
  <cp:lastPrinted>2016-03-25T21:53:00Z</cp:lastPrinted>
  <dcterms:created xsi:type="dcterms:W3CDTF">2018-09-27T21:42:00Z</dcterms:created>
  <dcterms:modified xsi:type="dcterms:W3CDTF">2018-09-28T22:09:00Z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